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116996">
      <w:pPr>
        <w:pBdr>
          <w:bottom w:val="single" w:color="000000" w:sz="8" w:space="2"/>
        </w:pBdr>
        <w:spacing w:before="100" w:beforeAutospacing="1" w:after="0" w:line="240" w:lineRule="auto"/>
        <w:rPr>
          <w:rFonts w:ascii="Times New Roman" w:hAnsi="Times New Roman" w:eastAsia="Times New Roman" w:cs="Times New Roman"/>
          <w:b/>
          <w:sz w:val="24"/>
          <w:szCs w:val="24"/>
          <w:lang w:eastAsia="sk-SK"/>
        </w:rPr>
      </w:pPr>
      <w:bookmarkStart w:id="0" w:name="_GoBack"/>
      <w:bookmarkEnd w:id="0"/>
      <w:r>
        <w:t xml:space="preserve">                                                           </w:t>
      </w:r>
      <w:r>
        <w:rPr>
          <w:rFonts w:ascii="Times New Roman" w:hAnsi="Times New Roman" w:eastAsia="Times New Roman" w:cs="Times New Roman"/>
          <w:b/>
          <w:bCs/>
          <w:iCs/>
          <w:sz w:val="32"/>
          <w:szCs w:val="32"/>
          <w:lang w:eastAsia="sk-SK"/>
        </w:rPr>
        <w:t>OBEC SVÄTÁ MÁRIA</w:t>
      </w:r>
    </w:p>
    <w:p w14:paraId="780C6B3E">
      <w:pPr>
        <w:spacing w:before="100" w:beforeAutospacing="1" w:after="0" w:line="240" w:lineRule="auto"/>
        <w:rPr>
          <w:rFonts w:ascii="Times New Roman" w:hAnsi="Times New Roman" w:eastAsia="Times New Roman" w:cs="Times New Roman"/>
          <w:i/>
          <w:sz w:val="24"/>
          <w:szCs w:val="24"/>
          <w:lang w:eastAsia="sk-SK"/>
        </w:rPr>
      </w:pPr>
    </w:p>
    <w:p w14:paraId="0F7B1BD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Vo Svätej Márii, dňa 23.06.2025</w:t>
      </w:r>
    </w:p>
    <w:p w14:paraId="00E8CE2C">
      <w:pPr>
        <w:spacing w:before="100" w:beforeAutospacing="1" w:after="0" w:line="240" w:lineRule="auto"/>
        <w:rPr>
          <w:rFonts w:ascii="Times New Roman" w:hAnsi="Times New Roman" w:eastAsia="Times New Roman" w:cs="Times New Roman"/>
          <w:sz w:val="24"/>
          <w:szCs w:val="24"/>
          <w:lang w:eastAsia="sk-SK"/>
        </w:rPr>
      </w:pPr>
    </w:p>
    <w:p w14:paraId="7E3A1C23">
      <w:pPr>
        <w:spacing w:before="100" w:beforeAutospacing="1" w:after="0" w:line="240" w:lineRule="auto"/>
        <w:jc w:val="center"/>
        <w:rPr>
          <w:rFonts w:ascii="Times New Roman" w:hAnsi="Times New Roman" w:eastAsia="Times New Roman" w:cs="Times New Roman"/>
          <w:b/>
          <w:bCs/>
          <w:iCs/>
          <w:sz w:val="27"/>
          <w:szCs w:val="27"/>
          <w:u w:val="single"/>
          <w:lang w:eastAsia="sk-SK"/>
        </w:rPr>
      </w:pPr>
      <w:r>
        <w:rPr>
          <w:rFonts w:ascii="Times New Roman" w:hAnsi="Times New Roman" w:eastAsia="Times New Roman" w:cs="Times New Roman"/>
          <w:b/>
          <w:bCs/>
          <w:iCs/>
          <w:sz w:val="27"/>
          <w:szCs w:val="27"/>
          <w:u w:val="single"/>
          <w:lang w:eastAsia="sk-SK"/>
        </w:rPr>
        <w:t>ZÁPISNICA</w:t>
      </w:r>
    </w:p>
    <w:p w14:paraId="165666BA">
      <w:pPr>
        <w:spacing w:before="100" w:beforeAutospacing="1" w:after="0" w:line="240" w:lineRule="auto"/>
        <w:jc w:val="center"/>
        <w:rPr>
          <w:rFonts w:ascii="Times New Roman" w:hAnsi="Times New Roman" w:eastAsia="Times New Roman" w:cs="Times New Roman"/>
          <w:sz w:val="24"/>
          <w:szCs w:val="24"/>
          <w:lang w:eastAsia="sk-SK"/>
        </w:rPr>
      </w:pPr>
    </w:p>
    <w:p w14:paraId="0BAF9DC1">
      <w:pPr>
        <w:spacing w:before="100" w:beforeAutospacing="1" w:after="0" w:line="240" w:lineRule="auto"/>
        <w:jc w:val="center"/>
        <w:rPr>
          <w:rFonts w:ascii="Times New Roman" w:hAnsi="Times New Roman" w:eastAsia="Times New Roman" w:cs="Times New Roman"/>
          <w:sz w:val="24"/>
          <w:szCs w:val="24"/>
          <w:lang w:eastAsia="sk-SK"/>
        </w:rPr>
      </w:pPr>
    </w:p>
    <w:p w14:paraId="6B43A0B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Napísaná zo zasadnutia Obecného zastupiteľstva konaného dňa 23.06.2025 v miestnosti obecného úradu. </w:t>
      </w:r>
    </w:p>
    <w:p w14:paraId="1C79A81C">
      <w:pPr>
        <w:spacing w:before="100" w:beforeAutospacing="1" w:after="0" w:line="240" w:lineRule="auto"/>
        <w:rPr>
          <w:rFonts w:ascii="Times New Roman" w:hAnsi="Times New Roman" w:eastAsia="Times New Roman" w:cs="Times New Roman"/>
          <w:sz w:val="24"/>
          <w:szCs w:val="24"/>
          <w:lang w:eastAsia="sk-SK"/>
        </w:rPr>
      </w:pPr>
    </w:p>
    <w:p w14:paraId="0232F7F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6"/>
          <w:szCs w:val="26"/>
          <w:u w:val="single"/>
          <w:lang w:eastAsia="sk-SK"/>
        </w:rPr>
        <w:t>Prítomní:</w:t>
      </w:r>
    </w:p>
    <w:p w14:paraId="7860792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Alžbeta Mátyásová</w:t>
      </w:r>
    </w:p>
    <w:p w14:paraId="2813C72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Valéria Horóckyová, PhDr., MPH</w:t>
      </w:r>
    </w:p>
    <w:p w14:paraId="19CAE2D4">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Július Kováč</w:t>
      </w:r>
    </w:p>
    <w:p w14:paraId="176CAE71">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Patrícia Zelenáková</w:t>
      </w:r>
    </w:p>
    <w:p w14:paraId="3F6CED3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Annamária Želenáková</w:t>
      </w:r>
    </w:p>
    <w:p w14:paraId="50D4E10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Angela Fučková</w:t>
      </w:r>
    </w:p>
    <w:p w14:paraId="11C963B2">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Štefan Zselenák</w:t>
      </w:r>
    </w:p>
    <w:p w14:paraId="7602663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Edita Keltiková</w:t>
      </w:r>
    </w:p>
    <w:p w14:paraId="551797C1">
      <w:pPr>
        <w:spacing w:before="100" w:beforeAutospacing="1" w:after="0" w:line="240" w:lineRule="auto"/>
        <w:rPr>
          <w:rFonts w:ascii="Times New Roman" w:hAnsi="Times New Roman" w:eastAsia="Times New Roman" w:cs="Times New Roman"/>
          <w:b/>
          <w:sz w:val="24"/>
          <w:szCs w:val="24"/>
          <w:lang w:eastAsia="sk-SK"/>
        </w:rPr>
      </w:pPr>
      <w:r>
        <w:rPr>
          <w:rFonts w:ascii="Times New Roman" w:hAnsi="Times New Roman" w:eastAsia="Times New Roman" w:cs="Times New Roman"/>
          <w:b/>
          <w:sz w:val="24"/>
          <w:szCs w:val="24"/>
          <w:lang w:eastAsia="sk-SK"/>
        </w:rPr>
        <w:t>Mgr. Matej Smorada</w:t>
      </w:r>
    </w:p>
    <w:p w14:paraId="0525B03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4"/>
          <w:szCs w:val="24"/>
          <w:u w:val="single"/>
          <w:lang w:eastAsia="sk-SK"/>
        </w:rPr>
        <w:t>Neprítomní:</w:t>
      </w:r>
    </w:p>
    <w:p w14:paraId="11E6E7EF">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Alexander Lipán</w:t>
      </w:r>
    </w:p>
    <w:p w14:paraId="625C722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Annamária Želenáková</w:t>
      </w:r>
    </w:p>
    <w:p w14:paraId="0F93E9B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Adam Mahut, Mgr. hlavný kontrolór</w:t>
      </w:r>
    </w:p>
    <w:p w14:paraId="387A812D">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ďalší prítomní podľa prezenčnej listiny.</w:t>
      </w:r>
    </w:p>
    <w:p w14:paraId="4EBA77CF">
      <w:pPr>
        <w:spacing w:before="100" w:beforeAutospacing="1" w:after="0" w:line="240" w:lineRule="auto"/>
        <w:rPr>
          <w:rFonts w:ascii="Times New Roman" w:hAnsi="Times New Roman" w:eastAsia="Times New Roman" w:cs="Times New Roman"/>
          <w:sz w:val="24"/>
          <w:szCs w:val="24"/>
          <w:lang w:eastAsia="sk-SK"/>
        </w:rPr>
      </w:pPr>
    </w:p>
    <w:p w14:paraId="62931F95">
      <w:pPr>
        <w:spacing w:before="100" w:beforeAutospacing="1" w:after="0" w:line="240" w:lineRule="auto"/>
        <w:rPr>
          <w:rFonts w:ascii="Times New Roman" w:hAnsi="Times New Roman" w:eastAsia="Times New Roman" w:cs="Times New Roman"/>
          <w:sz w:val="24"/>
          <w:szCs w:val="24"/>
          <w:lang w:eastAsia="sk-SK"/>
        </w:rPr>
      </w:pPr>
    </w:p>
    <w:p w14:paraId="412F79B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Predsedajúci oznámil, že zasadnutie obecného zastupiteľstva bolo zvolané v súlade s § 12 ods. 1 zákona č. 369/1990 Zb. o obecnom zriadení v znení neskorších predpisov.</w:t>
      </w:r>
    </w:p>
    <w:p w14:paraId="555DFCA2">
      <w:pPr>
        <w:spacing w:before="100" w:beforeAutospacing="1" w:after="0" w:line="240" w:lineRule="auto"/>
        <w:rPr>
          <w:rFonts w:ascii="Times New Roman" w:hAnsi="Times New Roman" w:eastAsia="Times New Roman" w:cs="Times New Roman"/>
          <w:sz w:val="24"/>
          <w:szCs w:val="24"/>
          <w:lang w:eastAsia="sk-SK"/>
        </w:rPr>
      </w:pPr>
    </w:p>
    <w:p w14:paraId="11B1BCC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7"/>
          <w:szCs w:val="27"/>
          <w:u w:val="single"/>
          <w:lang w:eastAsia="sk-SK"/>
        </w:rPr>
        <w:t>Za overovateľov zápisnice menuje:</w:t>
      </w:r>
    </w:p>
    <w:p w14:paraId="6AA4D82A">
      <w:pPr>
        <w:spacing w:before="100" w:beforeAutospacing="1" w:after="0" w:line="240" w:lineRule="auto"/>
        <w:rPr>
          <w:rFonts w:ascii="Times New Roman" w:hAnsi="Times New Roman" w:eastAsia="Times New Roman" w:cs="Times New Roman"/>
          <w:sz w:val="24"/>
          <w:szCs w:val="24"/>
          <w:lang w:eastAsia="sk-SK"/>
        </w:rPr>
      </w:pPr>
    </w:p>
    <w:p w14:paraId="5105BF57">
      <w:pPr>
        <w:spacing w:before="100" w:beforeAutospacing="1" w:after="0" w:line="240" w:lineRule="auto"/>
        <w:rPr>
          <w:rFonts w:ascii="Times New Roman" w:hAnsi="Times New Roman" w:eastAsia="Times New Roman" w:cs="Times New Roman"/>
          <w:sz w:val="24"/>
          <w:szCs w:val="24"/>
          <w:lang w:eastAsia="sk-SK"/>
        </w:rPr>
      </w:pPr>
    </w:p>
    <w:p w14:paraId="648A3EA6">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i/>
          <w:iCs/>
          <w:sz w:val="24"/>
          <w:szCs w:val="24"/>
          <w:lang w:eastAsia="sk-SK"/>
        </w:rPr>
        <w:t>Patrícia  Zelenáková:</w:t>
      </w:r>
      <w:r>
        <w:rPr>
          <w:rFonts w:ascii="Times New Roman" w:hAnsi="Times New Roman" w:eastAsia="Times New Roman" w:cs="Times New Roman"/>
          <w:sz w:val="24"/>
          <w:szCs w:val="24"/>
          <w:lang w:eastAsia="sk-SK"/>
        </w:rPr>
        <w:t xml:space="preserve"> …......................... </w:t>
      </w:r>
    </w:p>
    <w:p w14:paraId="2692628A">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PhDr.MPH Valéria  Horóckyová: …...............................</w:t>
      </w:r>
    </w:p>
    <w:p w14:paraId="58DB01C0">
      <w:pPr>
        <w:spacing w:before="100" w:beforeAutospacing="1" w:after="0" w:line="240" w:lineRule="auto"/>
        <w:ind w:left="658"/>
        <w:rPr>
          <w:rFonts w:ascii="Times New Roman" w:hAnsi="Times New Roman" w:eastAsia="Times New Roman" w:cs="Times New Roman"/>
          <w:sz w:val="24"/>
          <w:szCs w:val="24"/>
          <w:lang w:eastAsia="sk-SK"/>
        </w:rPr>
      </w:pPr>
    </w:p>
    <w:p w14:paraId="64DF16BD">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6"/>
          <w:szCs w:val="26"/>
          <w:u w:val="single"/>
          <w:lang w:eastAsia="sk-SK"/>
        </w:rPr>
        <w:t>Program:</w:t>
      </w:r>
    </w:p>
    <w:p w14:paraId="5D783164">
      <w:pPr>
        <w:spacing w:before="100" w:beforeAutospacing="1" w:after="0" w:line="240" w:lineRule="auto"/>
        <w:rPr>
          <w:rFonts w:ascii="Times New Roman" w:hAnsi="Times New Roman" w:eastAsia="Times New Roman" w:cs="Times New Roman"/>
          <w:sz w:val="24"/>
          <w:szCs w:val="24"/>
          <w:lang w:eastAsia="sk-SK"/>
        </w:rPr>
      </w:pPr>
    </w:p>
    <w:p w14:paraId="670BB646">
      <w:pPr>
        <w:rPr>
          <w:rFonts w:ascii="Times New Roman" w:hAnsi="Times New Roman" w:cs="Times New Roman"/>
          <w:sz w:val="24"/>
          <w:szCs w:val="24"/>
        </w:rPr>
      </w:pPr>
      <w:r>
        <w:rPr>
          <w:rFonts w:ascii="Times New Roman" w:hAnsi="Times New Roman" w:cs="Times New Roman"/>
          <w:sz w:val="24"/>
          <w:szCs w:val="24"/>
        </w:rPr>
        <w:t xml:space="preserve">1. Otvorenie zasadnutia                                                                                                            </w:t>
      </w:r>
    </w:p>
    <w:p w14:paraId="475C7951">
      <w:pPr>
        <w:rPr>
          <w:rFonts w:ascii="Times New Roman" w:hAnsi="Times New Roman" w:cs="Times New Roman"/>
          <w:sz w:val="24"/>
          <w:szCs w:val="24"/>
          <w:lang w:val="hu-HU"/>
        </w:rPr>
      </w:pPr>
      <w:r>
        <w:rPr>
          <w:rFonts w:ascii="Times New Roman" w:hAnsi="Times New Roman" w:cs="Times New Roman"/>
          <w:sz w:val="24"/>
          <w:szCs w:val="24"/>
        </w:rPr>
        <w:t xml:space="preserve">2. Schválenie programu zasadnutia obecného zastupiteľstva                                                  </w:t>
      </w:r>
    </w:p>
    <w:p w14:paraId="41A6E2C1">
      <w:pPr>
        <w:rPr>
          <w:rFonts w:ascii="Times New Roman" w:hAnsi="Times New Roman" w:cs="Times New Roman"/>
          <w:sz w:val="24"/>
          <w:szCs w:val="24"/>
        </w:rPr>
      </w:pPr>
      <w:r>
        <w:rPr>
          <w:rFonts w:ascii="Times New Roman" w:hAnsi="Times New Roman" w:cs="Times New Roman"/>
          <w:sz w:val="24"/>
          <w:szCs w:val="24"/>
          <w:lang w:val="hu-HU"/>
        </w:rPr>
        <w:t>3. Určenie zapisovate</w:t>
      </w:r>
      <w:r>
        <w:rPr>
          <w:rFonts w:ascii="Times New Roman" w:hAnsi="Times New Roman" w:cs="Times New Roman"/>
          <w:sz w:val="24"/>
          <w:szCs w:val="24"/>
        </w:rPr>
        <w:t>ľa</w:t>
      </w:r>
      <w:r>
        <w:rPr>
          <w:rFonts w:ascii="Times New Roman" w:hAnsi="Times New Roman" w:cs="Times New Roman"/>
          <w:sz w:val="24"/>
          <w:szCs w:val="24"/>
          <w:lang w:val="hu-HU"/>
        </w:rPr>
        <w:t xml:space="preserve"> a overovateľov zápisnice                                                                   </w:t>
      </w:r>
    </w:p>
    <w:p w14:paraId="3A55E725">
      <w:pPr>
        <w:rPr>
          <w:rFonts w:ascii="Times New Roman" w:hAnsi="Times New Roman" w:cs="Times New Roman"/>
          <w:sz w:val="24"/>
          <w:szCs w:val="24"/>
        </w:rPr>
      </w:pPr>
      <w:r>
        <w:rPr>
          <w:rFonts w:ascii="Times New Roman" w:hAnsi="Times New Roman" w:cs="Times New Roman"/>
          <w:sz w:val="24"/>
          <w:szCs w:val="24"/>
        </w:rPr>
        <w:t xml:space="preserve">4. Prejednanie a schválenie vstupu obce Dlhopisového programu garantovaných výnosov VVS                                             </w:t>
      </w:r>
    </w:p>
    <w:p w14:paraId="0C9158E7">
      <w:pPr>
        <w:rPr>
          <w:rFonts w:ascii="Times New Roman" w:hAnsi="Times New Roman" w:cs="Times New Roman"/>
          <w:sz w:val="24"/>
          <w:szCs w:val="24"/>
          <w:lang w:val="hu-HU"/>
        </w:rPr>
      </w:pPr>
      <w:r>
        <w:rPr>
          <w:rFonts w:ascii="Times New Roman" w:hAnsi="Times New Roman" w:cs="Times New Roman"/>
          <w:sz w:val="24"/>
          <w:szCs w:val="24"/>
        </w:rPr>
        <w:t>5. Stanovisko hlavného kontrolóra k záverečnému účtu obce za rok 2024</w:t>
      </w:r>
    </w:p>
    <w:p w14:paraId="3F0C3CF5">
      <w:pPr>
        <w:rPr>
          <w:rFonts w:ascii="Times New Roman" w:hAnsi="Times New Roman" w:cs="Times New Roman"/>
          <w:sz w:val="24"/>
          <w:szCs w:val="24"/>
        </w:rPr>
      </w:pPr>
      <w:r>
        <w:rPr>
          <w:rFonts w:ascii="Times New Roman" w:hAnsi="Times New Roman" w:cs="Times New Roman"/>
          <w:sz w:val="24"/>
          <w:szCs w:val="24"/>
        </w:rPr>
        <w:t>6. Schválenie záverečného účtu obce za rok 2024</w:t>
      </w:r>
    </w:p>
    <w:p w14:paraId="538B4ED5">
      <w:pPr>
        <w:rPr>
          <w:rFonts w:ascii="Times New Roman" w:hAnsi="Times New Roman" w:cs="Times New Roman"/>
          <w:sz w:val="24"/>
          <w:szCs w:val="24"/>
        </w:rPr>
      </w:pPr>
      <w:r>
        <w:rPr>
          <w:rFonts w:ascii="Times New Roman" w:hAnsi="Times New Roman" w:cs="Times New Roman"/>
          <w:sz w:val="24"/>
          <w:szCs w:val="24"/>
        </w:rPr>
        <w:t xml:space="preserve">7. Prejednanie dní obce                                                                                       </w:t>
      </w:r>
      <w:r>
        <w:rPr>
          <w:rFonts w:ascii="Times New Roman" w:hAnsi="Times New Roman" w:cs="Times New Roman"/>
          <w:sz w:val="24"/>
          <w:szCs w:val="24"/>
          <w:lang w:val="hu-HU"/>
        </w:rPr>
        <w:t xml:space="preserve">                                                                                                                                    </w:t>
      </w:r>
      <w:r>
        <w:rPr>
          <w:rFonts w:ascii="Times New Roman" w:hAnsi="Times New Roman" w:cs="Times New Roman"/>
          <w:sz w:val="24"/>
          <w:szCs w:val="24"/>
        </w:rPr>
        <w:t xml:space="preserve">                                                                                         </w:t>
      </w:r>
      <w:r>
        <w:rPr>
          <w:rFonts w:ascii="Times New Roman" w:hAnsi="Times New Roman" w:cs="Times New Roman"/>
          <w:sz w:val="24"/>
          <w:szCs w:val="24"/>
          <w:lang w:val="hu-HU"/>
        </w:rPr>
        <w:t xml:space="preserve">                                                                                                           </w:t>
      </w:r>
      <w:r>
        <w:rPr>
          <w:rFonts w:ascii="Times New Roman" w:hAnsi="Times New Roman" w:cs="Times New Roman"/>
          <w:sz w:val="24"/>
          <w:szCs w:val="24"/>
        </w:rPr>
        <w:t xml:space="preserve">                                                                                                                                       </w:t>
      </w:r>
    </w:p>
    <w:p w14:paraId="225C1454">
      <w:pPr>
        <w:rPr>
          <w:rFonts w:ascii="Times New Roman" w:hAnsi="Times New Roman" w:cs="Times New Roman"/>
          <w:sz w:val="24"/>
          <w:szCs w:val="24"/>
          <w:lang w:val="hu-HU"/>
        </w:rPr>
      </w:pPr>
      <w:r>
        <w:rPr>
          <w:rFonts w:ascii="Times New Roman" w:hAnsi="Times New Roman" w:cs="Times New Roman"/>
          <w:sz w:val="24"/>
          <w:szCs w:val="24"/>
          <w:lang w:val="hu-HU"/>
        </w:rPr>
        <w:t xml:space="preserve">8. </w:t>
      </w:r>
      <w:r>
        <w:rPr>
          <w:rFonts w:ascii="Times New Roman" w:hAnsi="Times New Roman" w:cs="Times New Roman"/>
          <w:sz w:val="24"/>
          <w:szCs w:val="24"/>
        </w:rPr>
        <w:t>Predjednanie listu  od prokuratúry</w:t>
      </w:r>
      <w:r>
        <w:rPr>
          <w:rFonts w:ascii="Times New Roman" w:hAnsi="Times New Roman" w:cs="Times New Roman"/>
          <w:sz w:val="24"/>
          <w:szCs w:val="24"/>
          <w:lang w:val="hu-HU"/>
        </w:rPr>
        <w:t xml:space="preserve">               </w:t>
      </w:r>
    </w:p>
    <w:p w14:paraId="418490EA">
      <w:pPr>
        <w:rPr>
          <w:rFonts w:ascii="Times New Roman" w:hAnsi="Times New Roman" w:cs="Times New Roman"/>
          <w:sz w:val="24"/>
          <w:szCs w:val="24"/>
          <w:lang w:val="hu-HU"/>
        </w:rPr>
      </w:pPr>
      <w:r>
        <w:rPr>
          <w:rFonts w:ascii="Times New Roman" w:hAnsi="Times New Roman" w:cs="Times New Roman"/>
          <w:sz w:val="24"/>
          <w:szCs w:val="24"/>
          <w:lang w:val="hu-HU"/>
        </w:rPr>
        <w:t xml:space="preserve">9. Záver                                                                                                                </w:t>
      </w:r>
    </w:p>
    <w:p w14:paraId="15B835E8">
      <w:pPr>
        <w:rPr>
          <w:rFonts w:ascii="Arial Black" w:hAnsi="Arial Black"/>
          <w:sz w:val="24"/>
          <w:szCs w:val="24"/>
          <w:lang w:val="hu-HU"/>
        </w:rPr>
      </w:pPr>
    </w:p>
    <w:p w14:paraId="56F8B10A">
      <w:pPr>
        <w:spacing w:before="100" w:beforeAutospacing="1" w:after="0" w:line="240" w:lineRule="auto"/>
        <w:rPr>
          <w:rFonts w:ascii="Times New Roman" w:hAnsi="Times New Roman" w:eastAsia="Times New Roman" w:cs="Times New Roman"/>
          <w:sz w:val="24"/>
          <w:szCs w:val="24"/>
          <w:lang w:eastAsia="sk-SK"/>
        </w:rPr>
      </w:pPr>
    </w:p>
    <w:p w14:paraId="1DACA979">
      <w:pPr>
        <w:spacing w:before="100" w:beforeAutospacing="1" w:after="0" w:line="240" w:lineRule="auto"/>
        <w:rPr>
          <w:rFonts w:ascii="Times New Roman" w:hAnsi="Times New Roman" w:eastAsia="Times New Roman" w:cs="Times New Roman"/>
          <w:sz w:val="24"/>
          <w:szCs w:val="24"/>
          <w:lang w:eastAsia="sk-SK"/>
        </w:rPr>
      </w:pPr>
    </w:p>
    <w:p w14:paraId="03EE3C76">
      <w:pPr>
        <w:spacing w:before="100" w:beforeAutospacing="1" w:after="0" w:line="240" w:lineRule="auto"/>
        <w:rPr>
          <w:rFonts w:ascii="Times New Roman" w:hAnsi="Times New Roman" w:eastAsia="Times New Roman" w:cs="Times New Roman"/>
          <w:sz w:val="28"/>
          <w:szCs w:val="24"/>
          <w:lang w:eastAsia="sk-SK"/>
        </w:rPr>
      </w:pPr>
    </w:p>
    <w:p w14:paraId="65922281">
      <w:pPr>
        <w:spacing w:before="100" w:beforeAutospacing="1" w:after="0" w:line="240" w:lineRule="auto"/>
        <w:rPr>
          <w:rFonts w:ascii="Times New Roman" w:hAnsi="Times New Roman" w:eastAsia="Times New Roman" w:cs="Times New Roman"/>
          <w:sz w:val="24"/>
          <w:szCs w:val="24"/>
          <w:lang w:eastAsia="sk-SK"/>
        </w:rPr>
      </w:pPr>
    </w:p>
    <w:p w14:paraId="32428C13">
      <w:pPr>
        <w:spacing w:before="100" w:beforeAutospacing="1" w:after="0" w:line="240" w:lineRule="auto"/>
        <w:rPr>
          <w:rFonts w:ascii="Times New Roman" w:hAnsi="Times New Roman" w:eastAsia="Times New Roman" w:cs="Times New Roman"/>
          <w:sz w:val="24"/>
          <w:szCs w:val="24"/>
          <w:lang w:eastAsia="sk-SK"/>
        </w:rPr>
      </w:pPr>
    </w:p>
    <w:p w14:paraId="3E048D3E">
      <w:pPr>
        <w:spacing w:before="100" w:beforeAutospacing="1" w:after="0" w:line="240" w:lineRule="auto"/>
        <w:rPr>
          <w:rFonts w:ascii="Times New Roman" w:hAnsi="Times New Roman" w:eastAsia="Times New Roman" w:cs="Times New Roman"/>
          <w:sz w:val="24"/>
          <w:szCs w:val="24"/>
          <w:lang w:eastAsia="sk-SK"/>
        </w:rPr>
      </w:pPr>
    </w:p>
    <w:p w14:paraId="4FAB634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w:t>
      </w:r>
      <w:r>
        <w:rPr>
          <w:rFonts w:ascii="Times New Roman" w:hAnsi="Times New Roman" w:eastAsia="Times New Roman" w:cs="Times New Roman"/>
          <w:b/>
          <w:bCs/>
          <w:i/>
          <w:iCs/>
          <w:sz w:val="27"/>
          <w:szCs w:val="27"/>
          <w:lang w:eastAsia="sk-SK"/>
        </w:rPr>
        <w:t>Zápisnica</w:t>
      </w:r>
    </w:p>
    <w:p w14:paraId="7D0CA03D">
      <w:pPr>
        <w:spacing w:before="100" w:beforeAutospacing="1" w:after="0" w:line="240" w:lineRule="auto"/>
        <w:jc w:val="center"/>
        <w:rPr>
          <w:rFonts w:ascii="Times New Roman" w:hAnsi="Times New Roman" w:eastAsia="Times New Roman" w:cs="Times New Roman"/>
          <w:sz w:val="24"/>
          <w:szCs w:val="24"/>
          <w:lang w:eastAsia="sk-SK"/>
        </w:rPr>
      </w:pPr>
      <w:r>
        <w:rPr>
          <w:rFonts w:ascii="Times New Roman" w:hAnsi="Times New Roman" w:eastAsia="Times New Roman" w:cs="Times New Roman"/>
          <w:i/>
          <w:iCs/>
          <w:sz w:val="27"/>
          <w:szCs w:val="27"/>
          <w:lang w:eastAsia="sk-SK"/>
        </w:rPr>
        <w:t>zo zasadnutia obecného zastupiteľstva</w:t>
      </w:r>
    </w:p>
    <w:p w14:paraId="686C3141">
      <w:pPr>
        <w:spacing w:before="100" w:beforeAutospacing="1" w:after="0" w:line="240" w:lineRule="auto"/>
        <w:jc w:val="center"/>
        <w:rPr>
          <w:rFonts w:ascii="Times New Roman" w:hAnsi="Times New Roman" w:eastAsia="Times New Roman" w:cs="Times New Roman"/>
          <w:sz w:val="24"/>
          <w:szCs w:val="24"/>
          <w:lang w:eastAsia="sk-SK"/>
        </w:rPr>
      </w:pPr>
      <w:r>
        <w:rPr>
          <w:rFonts w:ascii="Times New Roman" w:hAnsi="Times New Roman" w:eastAsia="Times New Roman" w:cs="Times New Roman"/>
          <w:i/>
          <w:iCs/>
          <w:sz w:val="27"/>
          <w:szCs w:val="27"/>
          <w:lang w:eastAsia="sk-SK"/>
        </w:rPr>
        <w:t>konaného dňa 23.06.2025</w:t>
      </w:r>
    </w:p>
    <w:p w14:paraId="19AA7670">
      <w:pPr>
        <w:spacing w:before="100" w:beforeAutospacing="1" w:after="0" w:line="240" w:lineRule="auto"/>
        <w:rPr>
          <w:rFonts w:ascii="Times New Roman" w:hAnsi="Times New Roman" w:eastAsia="Times New Roman" w:cs="Times New Roman"/>
          <w:sz w:val="24"/>
          <w:szCs w:val="24"/>
          <w:lang w:eastAsia="sk-SK"/>
        </w:rPr>
      </w:pPr>
    </w:p>
    <w:p w14:paraId="3B8E68C6">
      <w:pPr>
        <w:numPr>
          <w:ilvl w:val="0"/>
          <w:numId w:val="4"/>
        </w:num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Zasadnutie obecného zastupiteľstva otvorila a viedla starostka obce Alžbeta Mátyásová. </w:t>
      </w:r>
    </w:p>
    <w:p w14:paraId="615655B6">
      <w:pPr>
        <w:numPr>
          <w:ilvl w:val="0"/>
          <w:numId w:val="4"/>
        </w:num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Vedením zápisnice starostka poverila  Editu Keltikovú, pracovníčku obecného úradu a overovateľmi zápisnice  Patríciu Zelenákovú  a PhDr.MPH Valériu  Horóckyovú.</w:t>
      </w:r>
    </w:p>
    <w:p w14:paraId="48230288">
      <w:pPr>
        <w:numPr>
          <w:ilvl w:val="0"/>
          <w:numId w:val="4"/>
        </w:num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Starostka obce dala na hlasovanie program zasadnutia . Následne poslanci jednohlasne schválili program zasadnutia. </w:t>
      </w:r>
    </w:p>
    <w:p w14:paraId="0224E5F7">
      <w:pPr>
        <w:numPr>
          <w:ilvl w:val="0"/>
          <w:numId w:val="4"/>
        </w:num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Poslanci obecného zastupiteľstva po preštudovaní zápisnice z predchádzajúceho zasadnutia zo dňa 08.04.2025 konštatovali, že uznesenia boli splnené.</w:t>
      </w:r>
    </w:p>
    <w:p w14:paraId="5C96DDF1">
      <w:pPr>
        <w:numPr>
          <w:ilvl w:val="0"/>
          <w:numId w:val="4"/>
        </w:num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cs="Times New Roman"/>
          <w:sz w:val="24"/>
          <w:szCs w:val="24"/>
        </w:rPr>
        <w:t>Mgr. Matej Smorada riaditeľ akvizičného oddelenia Klubu akcionárov VVS a.s., o. z.</w:t>
      </w:r>
      <w:r>
        <w:rPr>
          <w:rFonts w:ascii="Times New Roman" w:hAnsi="Times New Roman" w:eastAsia="Times New Roman" w:cs="Times New Roman"/>
          <w:sz w:val="24"/>
          <w:szCs w:val="24"/>
          <w:lang w:eastAsia="sk-SK"/>
        </w:rPr>
        <w:t xml:space="preserve"> informoval prítomných podrobne o uzneseniach k vstupu obce do Dlhopisového programu garnatovaných výnosov VVS. Starostka navrhla vstúpiť do programu a dala hlasovať o jednotlivých uzneseniach, ktoré boli pripravené. </w:t>
      </w:r>
      <w:r>
        <w:rPr>
          <w:rFonts w:ascii="Times New Roman" w:hAnsi="Times New Roman" w:cs="Times New Roman"/>
          <w:sz w:val="24"/>
          <w:szCs w:val="24"/>
        </w:rPr>
        <w:t xml:space="preserve">ZA uznsesnia hlasovali všetci poslanci okrem poslanca Štefana Zselenáka, ktorí bol proti. Keďže ostatní poslanci hlasovali ZA, tak pani starostka skonštatovala, že všetky boli schválené.                                                            </w:t>
      </w:r>
    </w:p>
    <w:p w14:paraId="22CD3CA6">
      <w:pPr>
        <w:numPr>
          <w:ilvl w:val="0"/>
          <w:numId w:val="4"/>
        </w:numPr>
        <w:spacing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PhDr.MPH Valéria  Horóckyová prečítala stanovisko hlavného kontrolóra k záverečnému účtu obce za 2024 a poslanci brali na vedomie.</w:t>
      </w:r>
    </w:p>
    <w:p w14:paraId="369C6B78">
      <w:pPr>
        <w:numPr>
          <w:ilvl w:val="0"/>
          <w:numId w:val="4"/>
        </w:numPr>
        <w:spacing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Pristúpilo sa k bodu schválenie záverečného účtu obce za rok 2024. Poslanci preštudovali a jednohlasné schválili záverečný účet obce za rok 2024 bez výhrad.</w:t>
      </w:r>
    </w:p>
    <w:p w14:paraId="29D3B928">
      <w:pPr>
        <w:numPr>
          <w:ilvl w:val="0"/>
          <w:numId w:val="4"/>
        </w:numPr>
        <w:spacing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Starostka obce oboznámila  poslancov o liste  od advokáta na upozornenie od prokurátora  č. Pd 4/25/8811  , ktorej sa jednalo o VZN  o miestnych daniach a poplatkov , ktorá bola úž opravená v januári 2025 . Poslanci považujú za odôvodnené a jednohlasne vyhovujú podanému uznesenie prokurátora. </w:t>
      </w:r>
    </w:p>
    <w:p w14:paraId="3A72EFD9">
      <w:pPr>
        <w:pStyle w:val="23"/>
        <w:numPr>
          <w:ilvl w:val="0"/>
          <w:numId w:val="4"/>
        </w:numPr>
        <w:spacing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Na záver  - dní obce , starostka obce sa informovala  poslanci, že termín konania je</w:t>
      </w:r>
    </w:p>
    <w:p w14:paraId="66683A23">
      <w:pPr>
        <w:pStyle w:val="23"/>
        <w:spacing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25-26.07.2025. Obec Svätá Mária v marci 2025 požiadala KSK o Dotáciu na Festivál sesterských dedín, ktorá bola schválená v nižšie sume, ako sa požiadalo.  Na 25.07.2025 je plánovaná  súťaž na miestnom rybníku, starostka obce poprosila Júliusa Kováča pomocou na súťaže dňa 25.07.2025.    Nasledujúci deň okolo obeda je plánované stretnutie zástupcami sesterských dedín a odovzdanie memorandum, potom nasleduje spoločný slávnostný obed na miestnom kultúrnom dome. Kultúrne podujatie sa bude konať na futbalovom ihrisku, podobne ako v predchádzajúcich rokoch. Starostka obce požiadala zastupiteľstvo a spoluprácu a spoluúčasť.</w:t>
      </w:r>
    </w:p>
    <w:p w14:paraId="478B368B">
      <w:pPr>
        <w:spacing w:after="0" w:line="240" w:lineRule="auto"/>
        <w:ind w:left="360"/>
        <w:rPr>
          <w:rFonts w:ascii="Times New Roman" w:hAnsi="Times New Roman" w:eastAsia="Times New Roman" w:cs="Times New Roman"/>
          <w:sz w:val="24"/>
          <w:szCs w:val="24"/>
          <w:lang w:eastAsia="sk-SK"/>
        </w:rPr>
      </w:pPr>
    </w:p>
    <w:p w14:paraId="42B84691">
      <w:pPr>
        <w:spacing w:after="0" w:line="240" w:lineRule="auto"/>
        <w:ind w:left="284" w:hanging="142"/>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10. Po vyčerpaní všetkých bodov starostka obce poďakovala prítomným za účasť a                                                             </w:t>
      </w:r>
    </w:p>
    <w:p w14:paraId="3277FAE0">
      <w:pPr>
        <w:spacing w:after="0" w:line="240" w:lineRule="auto"/>
        <w:ind w:left="284" w:hanging="142"/>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zasadnutie ukončila. Všetky uznesenia sú prílohou tejto zápisnice.</w:t>
      </w:r>
    </w:p>
    <w:p w14:paraId="3FE020D1">
      <w:pPr>
        <w:spacing w:after="0" w:line="240" w:lineRule="auto"/>
        <w:rPr>
          <w:rFonts w:ascii="Times New Roman" w:hAnsi="Times New Roman" w:eastAsia="Times New Roman" w:cs="Times New Roman"/>
          <w:sz w:val="24"/>
          <w:szCs w:val="24"/>
          <w:lang w:eastAsia="sk-SK"/>
        </w:rPr>
      </w:pPr>
    </w:p>
    <w:p w14:paraId="1457C9AB">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Zapísala: Edita Keltiková</w:t>
      </w:r>
    </w:p>
    <w:p w14:paraId="06E07380">
      <w:pPr>
        <w:spacing w:before="100" w:beforeAutospacing="1" w:after="0" w:line="240" w:lineRule="auto"/>
        <w:rPr>
          <w:rFonts w:ascii="Times New Roman" w:hAnsi="Times New Roman" w:eastAsia="Times New Roman" w:cs="Times New Roman"/>
          <w:sz w:val="24"/>
          <w:szCs w:val="24"/>
          <w:lang w:eastAsia="sk-SK"/>
        </w:rPr>
      </w:pPr>
    </w:p>
    <w:p w14:paraId="6BBBA8D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w:t>
      </w:r>
      <w:r>
        <w:rPr>
          <w:rFonts w:ascii="Times New Roman" w:hAnsi="Times New Roman" w:eastAsia="Times New Roman" w:cs="Times New Roman"/>
          <w:b/>
          <w:bCs/>
          <w:i/>
          <w:iCs/>
          <w:sz w:val="27"/>
          <w:szCs w:val="27"/>
          <w:lang w:eastAsia="sk-SK"/>
        </w:rPr>
        <w:t>Uznesenia</w:t>
      </w:r>
    </w:p>
    <w:p w14:paraId="194890C1">
      <w:pPr>
        <w:spacing w:before="100" w:beforeAutospacing="1" w:after="0" w:line="240" w:lineRule="auto"/>
        <w:jc w:val="center"/>
        <w:rPr>
          <w:rFonts w:ascii="Times New Roman" w:hAnsi="Times New Roman" w:eastAsia="Times New Roman" w:cs="Times New Roman"/>
          <w:sz w:val="24"/>
          <w:szCs w:val="24"/>
          <w:lang w:eastAsia="sk-SK"/>
        </w:rPr>
      </w:pPr>
      <w:r>
        <w:rPr>
          <w:rFonts w:ascii="Times New Roman" w:hAnsi="Times New Roman" w:eastAsia="Times New Roman" w:cs="Times New Roman"/>
          <w:i/>
          <w:iCs/>
          <w:sz w:val="27"/>
          <w:szCs w:val="27"/>
          <w:lang w:eastAsia="sk-SK"/>
        </w:rPr>
        <w:t>zo zasadnutia obecného zastupiteľstva</w:t>
      </w:r>
    </w:p>
    <w:p w14:paraId="0FE5F763">
      <w:pPr>
        <w:spacing w:before="100" w:beforeAutospacing="1" w:after="0" w:line="240" w:lineRule="auto"/>
        <w:jc w:val="center"/>
        <w:rPr>
          <w:rFonts w:ascii="Times New Roman" w:hAnsi="Times New Roman" w:eastAsia="Times New Roman" w:cs="Times New Roman"/>
          <w:sz w:val="24"/>
          <w:szCs w:val="24"/>
          <w:lang w:eastAsia="sk-SK"/>
        </w:rPr>
      </w:pPr>
      <w:r>
        <w:rPr>
          <w:rFonts w:ascii="Times New Roman" w:hAnsi="Times New Roman" w:eastAsia="Times New Roman" w:cs="Times New Roman"/>
          <w:i/>
          <w:iCs/>
          <w:sz w:val="27"/>
          <w:szCs w:val="27"/>
          <w:lang w:eastAsia="sk-SK"/>
        </w:rPr>
        <w:t>konaného dňa 23. 06. 2025</w:t>
      </w:r>
    </w:p>
    <w:p w14:paraId="0450381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Obecné zastupiteľstvo vo Svätej Márii</w:t>
      </w:r>
    </w:p>
    <w:p w14:paraId="14842A1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6"/>
          <w:szCs w:val="26"/>
          <w:lang w:eastAsia="sk-SK"/>
        </w:rPr>
        <w:t>Uznesenie č. 13/2025</w:t>
      </w:r>
    </w:p>
    <w:p w14:paraId="2D4E76A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4"/>
          <w:szCs w:val="24"/>
          <w:lang w:eastAsia="sk-SK"/>
        </w:rPr>
        <w:t>Schvaľuje</w:t>
      </w:r>
    </w:p>
    <w:p w14:paraId="362A285A">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program zasadnutia </w:t>
      </w:r>
    </w:p>
    <w:p w14:paraId="0A5AD612">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43E30D6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59D32E0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159AADC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5</w:t>
            </w:r>
          </w:p>
          <w:p w14:paraId="6A0A355C">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24AE0ADA">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A. Fučková, Horóckyová Valéria , PhDr.,MPH , J. Kováč, , P. Zelenáková, Š. Zselenák, </w:t>
            </w:r>
          </w:p>
        </w:tc>
      </w:tr>
      <w:tr w14:paraId="543EF3B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7886422B">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51A56155">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5093E181">
            <w:pPr>
              <w:spacing w:before="100" w:beforeAutospacing="1" w:after="0" w:line="240" w:lineRule="auto"/>
              <w:rPr>
                <w:rFonts w:ascii="Times New Roman" w:hAnsi="Times New Roman" w:eastAsia="Times New Roman" w:cs="Times New Roman"/>
                <w:sz w:val="24"/>
                <w:szCs w:val="24"/>
                <w:lang w:eastAsia="sk-SK"/>
              </w:rPr>
            </w:pPr>
          </w:p>
        </w:tc>
      </w:tr>
      <w:tr w14:paraId="2E422D2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0E18BC3A">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65F9C380">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39CDFBD0">
            <w:pPr>
              <w:spacing w:before="100" w:beforeAutospacing="1" w:after="0" w:line="240" w:lineRule="auto"/>
              <w:rPr>
                <w:rFonts w:ascii="Times New Roman" w:hAnsi="Times New Roman" w:eastAsia="Times New Roman" w:cs="Times New Roman"/>
                <w:sz w:val="24"/>
                <w:szCs w:val="24"/>
                <w:lang w:eastAsia="sk-SK"/>
              </w:rPr>
            </w:pPr>
          </w:p>
        </w:tc>
      </w:tr>
      <w:tr w14:paraId="6CE4ECF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3BCA51A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5BAA9D59">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2</w:t>
            </w:r>
          </w:p>
        </w:tc>
        <w:tc>
          <w:tcPr>
            <w:tcW w:w="3250" w:type="pct"/>
            <w:tcBorders>
              <w:top w:val="outset" w:color="000000" w:sz="6" w:space="0"/>
              <w:left w:val="outset" w:color="000000" w:sz="6" w:space="0"/>
              <w:bottom w:val="outset" w:color="000000" w:sz="6" w:space="0"/>
              <w:right w:val="outset" w:color="000000" w:sz="6" w:space="0"/>
            </w:tcBorders>
          </w:tcPr>
          <w:p w14:paraId="3B6355F2">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2564C27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25840766">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i/>
          <w:iCs/>
          <w:sz w:val="24"/>
          <w:szCs w:val="24"/>
          <w:lang w:eastAsia="sk-SK"/>
        </w:rPr>
        <w:t>V Svätej Márii, dňa: ….....................................</w:t>
      </w:r>
    </w:p>
    <w:p w14:paraId="551C9D2F">
      <w:pPr>
        <w:spacing w:before="100" w:beforeAutospacing="1" w:after="0" w:line="240" w:lineRule="auto"/>
        <w:rPr>
          <w:rFonts w:ascii="Times New Roman" w:hAnsi="Times New Roman" w:eastAsia="Times New Roman" w:cs="Times New Roman"/>
          <w:sz w:val="24"/>
          <w:szCs w:val="24"/>
          <w:lang w:eastAsia="sk-SK"/>
        </w:rPr>
      </w:pPr>
    </w:p>
    <w:p w14:paraId="45C6F8B4">
      <w:pPr>
        <w:spacing w:before="100" w:beforeAutospacing="1" w:after="0" w:line="240" w:lineRule="auto"/>
        <w:rPr>
          <w:rFonts w:ascii="Times New Roman" w:hAnsi="Times New Roman" w:eastAsia="Times New Roman" w:cs="Times New Roman"/>
          <w:b/>
          <w:bCs/>
          <w:i/>
          <w:iCs/>
          <w:sz w:val="26"/>
          <w:szCs w:val="26"/>
          <w:lang w:eastAsia="sk-SK"/>
        </w:rPr>
      </w:pPr>
      <w:r>
        <w:rPr>
          <w:rFonts w:ascii="Times New Roman" w:hAnsi="Times New Roman" w:eastAsia="Times New Roman" w:cs="Times New Roman"/>
          <w:b/>
          <w:bCs/>
          <w:i/>
          <w:iCs/>
          <w:sz w:val="26"/>
          <w:szCs w:val="26"/>
          <w:lang w:eastAsia="sk-SK"/>
        </w:rPr>
        <w:t>Uznesenie č. 14/2025/a</w:t>
      </w:r>
    </w:p>
    <w:p w14:paraId="2F7B778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Obecné zastupiteľstvo vo Svätej Márii</w:t>
      </w:r>
    </w:p>
    <w:p w14:paraId="7D3FE90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4"/>
          <w:szCs w:val="24"/>
          <w:lang w:eastAsia="sk-SK"/>
        </w:rPr>
        <w:t xml:space="preserve">schvaľuje </w:t>
      </w:r>
    </w:p>
    <w:p w14:paraId="17DCABD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schválenie vstúpenia obce do Dlhopisového programu garantovaných výnosov VVS</w:t>
      </w:r>
    </w:p>
    <w:p w14:paraId="07B9CE7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202BC44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7E31B5BD">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54161B0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4</w:t>
            </w:r>
          </w:p>
          <w:p w14:paraId="6F18CA9D">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2521E3C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 Fučková, Horóckyová Valéria , PhDr.,MPH , J. Kováč, , P. Zelenáková</w:t>
            </w:r>
          </w:p>
        </w:tc>
      </w:tr>
      <w:tr w14:paraId="04569A5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4A1584C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369292F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1</w:t>
            </w:r>
          </w:p>
        </w:tc>
        <w:tc>
          <w:tcPr>
            <w:tcW w:w="3250" w:type="pct"/>
            <w:tcBorders>
              <w:top w:val="outset" w:color="000000" w:sz="6" w:space="0"/>
              <w:left w:val="outset" w:color="000000" w:sz="6" w:space="0"/>
              <w:bottom w:val="outset" w:color="000000" w:sz="6" w:space="0"/>
              <w:right w:val="outset" w:color="000000" w:sz="6" w:space="0"/>
            </w:tcBorders>
          </w:tcPr>
          <w:p w14:paraId="301DDA9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Š. Zselenák</w:t>
            </w:r>
          </w:p>
        </w:tc>
      </w:tr>
      <w:tr w14:paraId="40DB20C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096A93E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58B9D306">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6BE1648B">
            <w:pPr>
              <w:spacing w:before="100" w:beforeAutospacing="1" w:after="0" w:line="240" w:lineRule="auto"/>
              <w:rPr>
                <w:rFonts w:ascii="Times New Roman" w:hAnsi="Times New Roman" w:eastAsia="Times New Roman" w:cs="Times New Roman"/>
                <w:sz w:val="24"/>
                <w:szCs w:val="24"/>
                <w:lang w:eastAsia="sk-SK"/>
              </w:rPr>
            </w:pPr>
          </w:p>
        </w:tc>
      </w:tr>
      <w:tr w14:paraId="3D33B0E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31847A7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425BAFE1">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2</w:t>
            </w:r>
          </w:p>
        </w:tc>
        <w:tc>
          <w:tcPr>
            <w:tcW w:w="3250" w:type="pct"/>
            <w:tcBorders>
              <w:top w:val="outset" w:color="000000" w:sz="6" w:space="0"/>
              <w:left w:val="outset" w:color="000000" w:sz="6" w:space="0"/>
              <w:bottom w:val="outset" w:color="000000" w:sz="6" w:space="0"/>
              <w:right w:val="outset" w:color="000000" w:sz="6" w:space="0"/>
            </w:tcBorders>
          </w:tcPr>
          <w:p w14:paraId="5277137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03173A0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2D19244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i/>
          <w:iCs/>
          <w:sz w:val="24"/>
          <w:szCs w:val="24"/>
          <w:lang w:eastAsia="sk-SK"/>
        </w:rPr>
        <w:t>V Svätej Márii, dňa: ….....................................</w:t>
      </w:r>
    </w:p>
    <w:p w14:paraId="3C4ABA89">
      <w:pPr>
        <w:spacing w:before="100" w:beforeAutospacing="1" w:after="0" w:line="240" w:lineRule="auto"/>
        <w:rPr>
          <w:rFonts w:ascii="Times New Roman" w:hAnsi="Times New Roman" w:eastAsia="Times New Roman" w:cs="Times New Roman"/>
          <w:b/>
          <w:bCs/>
          <w:i/>
          <w:iCs/>
          <w:sz w:val="26"/>
          <w:szCs w:val="26"/>
          <w:lang w:eastAsia="sk-SK"/>
        </w:rPr>
      </w:pPr>
      <w:r>
        <w:rPr>
          <w:rFonts w:ascii="Times New Roman" w:hAnsi="Times New Roman" w:eastAsia="Times New Roman" w:cs="Times New Roman"/>
          <w:b/>
          <w:bCs/>
          <w:i/>
          <w:iCs/>
          <w:sz w:val="26"/>
          <w:szCs w:val="26"/>
          <w:lang w:eastAsia="sk-SK"/>
        </w:rPr>
        <w:t>Uznesenie č. 14/2025/b</w:t>
      </w:r>
    </w:p>
    <w:p w14:paraId="16ADAB67">
      <w:pPr>
        <w:tabs>
          <w:tab w:val="left" w:pos="0"/>
          <w:tab w:val="left" w:pos="851"/>
        </w:tabs>
        <w:spacing w:after="0" w:line="240" w:lineRule="auto"/>
        <w:jc w:val="both"/>
        <w:rPr>
          <w:rFonts w:ascii="Times New Roman" w:hAnsi="Times New Roman" w:eastAsia="Times New Roman" w:cs="Times New Roman"/>
          <w:b/>
          <w:bCs/>
          <w:i/>
          <w:iCs/>
          <w:sz w:val="26"/>
          <w:szCs w:val="26"/>
          <w:lang w:eastAsia="sk-SK"/>
        </w:rPr>
      </w:pPr>
    </w:p>
    <w:p w14:paraId="5FD167C0">
      <w:pPr>
        <w:tabs>
          <w:tab w:val="left" w:pos="0"/>
          <w:tab w:val="left" w:pos="851"/>
        </w:tabs>
        <w:spacing w:after="0" w:line="240" w:lineRule="auto"/>
        <w:jc w:val="both"/>
        <w:rPr>
          <w:rFonts w:ascii="Times New Roman" w:hAnsi="Times New Roman" w:cs="Times New Roman"/>
          <w:i/>
          <w:sz w:val="24"/>
          <w:szCs w:val="24"/>
        </w:rPr>
      </w:pPr>
      <w:r>
        <w:rPr>
          <w:rFonts w:ascii="Times New Roman" w:hAnsi="Times New Roman" w:cs="Times New Roman"/>
          <w:b/>
          <w:i/>
          <w:sz w:val="24"/>
          <w:szCs w:val="24"/>
        </w:rPr>
        <w:t>Obecné zastupiteľstvo obce Svätá Mária</w:t>
      </w:r>
    </w:p>
    <w:p w14:paraId="7F8626AF">
      <w:pPr>
        <w:spacing w:after="0" w:line="240" w:lineRule="auto"/>
        <w:rPr>
          <w:rFonts w:ascii="Times New Roman" w:hAnsi="Times New Roman" w:cs="Times New Roman"/>
          <w:i/>
          <w:sz w:val="24"/>
          <w:szCs w:val="24"/>
        </w:rPr>
      </w:pPr>
    </w:p>
    <w:p w14:paraId="58870407">
      <w:pPr>
        <w:spacing w:after="0" w:line="240" w:lineRule="auto"/>
        <w:jc w:val="both"/>
        <w:rPr>
          <w:rFonts w:ascii="Times New Roman" w:hAnsi="Times New Roman" w:cs="Times New Roman"/>
          <w:b/>
          <w:bCs/>
          <w:iCs/>
          <w:sz w:val="24"/>
          <w:szCs w:val="24"/>
        </w:rPr>
      </w:pPr>
      <w:r>
        <w:rPr>
          <w:rFonts w:ascii="Times New Roman" w:hAnsi="Times New Roman" w:cs="Times New Roman"/>
          <w:b/>
          <w:bCs/>
          <w:iCs/>
          <w:sz w:val="24"/>
          <w:szCs w:val="24"/>
        </w:rPr>
        <w:t>schvaľuje</w:t>
      </w:r>
    </w:p>
    <w:p w14:paraId="4EB27581">
      <w:pPr>
        <w:spacing w:after="0" w:line="240" w:lineRule="auto"/>
        <w:jc w:val="both"/>
        <w:rPr>
          <w:rFonts w:ascii="Times New Roman" w:hAnsi="Times New Roman" w:cs="Times New Roman"/>
          <w:b/>
          <w:bCs/>
          <w:iCs/>
          <w:sz w:val="24"/>
          <w:szCs w:val="24"/>
        </w:rPr>
      </w:pPr>
    </w:p>
    <w:p w14:paraId="2F52C475">
      <w:pPr>
        <w:tabs>
          <w:tab w:val="left" w:pos="0"/>
          <w:tab w:val="left" w:pos="851"/>
        </w:tabs>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podľa § 11 ods. 4 zákona SNR č. 369/1990 Zb. o obecnom zriadení v z. n. p. (ďalej len „zákon o obecnom zriadení“)</w:t>
      </w:r>
    </w:p>
    <w:p w14:paraId="15479A3E">
      <w:pPr>
        <w:tabs>
          <w:tab w:val="left" w:pos="0"/>
          <w:tab w:val="left" w:pos="851"/>
        </w:tabs>
        <w:spacing w:after="0" w:line="240" w:lineRule="auto"/>
        <w:jc w:val="both"/>
        <w:rPr>
          <w:rFonts w:ascii="Times New Roman" w:hAnsi="Times New Roman" w:cs="Times New Roman"/>
          <w:i/>
          <w:sz w:val="24"/>
          <w:szCs w:val="24"/>
        </w:rPr>
      </w:pPr>
    </w:p>
    <w:p w14:paraId="76F4F8EA">
      <w:pPr>
        <w:tabs>
          <w:tab w:val="left" w:pos="0"/>
          <w:tab w:val="left" w:pos="851"/>
        </w:tabs>
        <w:spacing w:after="0" w:line="240" w:lineRule="auto"/>
        <w:jc w:val="both"/>
        <w:rPr>
          <w:rFonts w:ascii="Times New Roman" w:hAnsi="Times New Roman" w:cs="Times New Roman"/>
          <w:b/>
          <w:sz w:val="24"/>
          <w:szCs w:val="24"/>
        </w:rPr>
      </w:pPr>
      <w:r>
        <w:rPr>
          <w:rFonts w:ascii="Times New Roman" w:hAnsi="Times New Roman" w:cs="Times New Roman"/>
          <w:b/>
          <w:bCs/>
          <w:iCs/>
          <w:sz w:val="24"/>
          <w:szCs w:val="24"/>
        </w:rPr>
        <w:t xml:space="preserve">zámer prevodu </w:t>
      </w:r>
      <w:r>
        <w:rPr>
          <w:rFonts w:ascii="Times New Roman" w:hAnsi="Times New Roman" w:cs="Times New Roman"/>
          <w:b/>
          <w:sz w:val="24"/>
          <w:szCs w:val="24"/>
        </w:rPr>
        <w:t xml:space="preserve">akcií obce Svätá Mária </w:t>
      </w:r>
      <w:r>
        <w:rPr>
          <w:rFonts w:ascii="Times New Roman" w:hAnsi="Times New Roman" w:cs="Times New Roman"/>
          <w:b/>
          <w:i/>
          <w:iCs/>
          <w:sz w:val="24"/>
          <w:szCs w:val="24"/>
        </w:rPr>
        <w:t>(ďalej v texte len „obec“)</w:t>
      </w:r>
      <w:r>
        <w:rPr>
          <w:rFonts w:ascii="Times New Roman" w:hAnsi="Times New Roman" w:cs="Times New Roman"/>
          <w:b/>
          <w:sz w:val="24"/>
          <w:szCs w:val="24"/>
        </w:rPr>
        <w:t xml:space="preserve"> v obchodnej spoločnosti Východoslovenská vodárenská spoločnosť, a. s. spôsobom (formou) obchodnej verejnej súťaže.</w:t>
      </w:r>
    </w:p>
    <w:p w14:paraId="2EFE1249">
      <w:pPr>
        <w:spacing w:after="0" w:line="240" w:lineRule="auto"/>
        <w:jc w:val="both"/>
        <w:rPr>
          <w:rFonts w:ascii="Times New Roman" w:hAnsi="Times New Roman" w:cs="Times New Roman"/>
          <w:sz w:val="24"/>
          <w:szCs w:val="24"/>
        </w:rPr>
      </w:pPr>
    </w:p>
    <w:p w14:paraId="641035F0">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Obec je výlučným vlastníkom 3674 akcií, ktoré nahrádza hromadná akcia </w:t>
      </w:r>
      <w:r>
        <w:rPr>
          <w:rFonts w:ascii="Times New Roman" w:hAnsi="Times New Roman" w:cs="Times New Roman"/>
          <w:i/>
          <w:iCs/>
          <w:sz w:val="24"/>
          <w:szCs w:val="24"/>
        </w:rPr>
        <w:t xml:space="preserve">(ďalej aj „pôvodná hromadná akcia“) </w:t>
      </w:r>
      <w:r>
        <w:rPr>
          <w:rFonts w:ascii="Times New Roman" w:hAnsi="Times New Roman" w:cs="Times New Roman"/>
          <w:sz w:val="24"/>
          <w:szCs w:val="24"/>
        </w:rPr>
        <w:t xml:space="preserve">s dátumom emisie 31.01.2022, ktorých menovitá hodnota zodpovedá 0,05 %-nému podielu na základnom imaní obchodnej spoločnosti Východoslovenská vodárenská spoločnosť, a. s., IČO: 36 570 460, so sídlom Komenského 50, 042 48 Košice, zapísanej v Obchodnom registri Mestského súdu Košice, Oddiel: Sa, Vložka číslo: 1243/V </w:t>
      </w:r>
      <w:r>
        <w:rPr>
          <w:rFonts w:ascii="Times New Roman" w:hAnsi="Times New Roman" w:cs="Times New Roman"/>
          <w:i/>
          <w:iCs/>
          <w:sz w:val="24"/>
          <w:szCs w:val="24"/>
        </w:rPr>
        <w:t>(ďalej aj „VVS, a. s.“, „ akciová spoločnosť“ alebo „spoločnosť“)</w:t>
      </w:r>
      <w:r>
        <w:rPr>
          <w:rFonts w:ascii="Times New Roman" w:hAnsi="Times New Roman" w:cs="Times New Roman"/>
          <w:sz w:val="24"/>
          <w:szCs w:val="24"/>
        </w:rPr>
        <w:t xml:space="preserve">. Hlavným predmetom podnikateľskej činnosti spoločnosti je najmä, nie však výlučne, </w:t>
      </w:r>
      <w:r>
        <w:rPr>
          <w:rFonts w:ascii="Times New Roman" w:hAnsi="Times New Roman" w:cs="Times New Roman"/>
          <w:sz w:val="24"/>
          <w:szCs w:val="24"/>
          <w:lang w:eastAsia="sk-SK"/>
        </w:rPr>
        <w:t>výroba vody – prevádzka a ochrana zariadení vodovodov v oblasti výroby a dopravy pitnej vody, distribúcia vody do jednotlivých oblastí a tlakových pásiem, sledovanie strát vody a výkon opatrení na ich znižovanie a ďalšie činnosti; odkanalizovanie vody – odvádzanie a čistenie odpadových vôd, zrážkových vôd, likvidácia vzniknutého kalu, prevádzka, údržba a vykonávanie opráv, renovácií a</w:t>
      </w:r>
      <w:r>
        <w:rPr>
          <w:rFonts w:ascii="Times New Roman" w:hAnsi="Times New Roman" w:cs="Times New Roman"/>
          <w:sz w:val="24"/>
          <w:szCs w:val="24"/>
        </w:rPr>
        <w:t> </w:t>
      </w:r>
      <w:r>
        <w:rPr>
          <w:rFonts w:ascii="Times New Roman" w:hAnsi="Times New Roman" w:cs="Times New Roman"/>
          <w:sz w:val="24"/>
          <w:szCs w:val="24"/>
          <w:lang w:eastAsia="sk-SK"/>
        </w:rPr>
        <w:t>rekonštrukcií stokových sietí a čistiarní odpadových vôd v správe spoločnosti.</w:t>
      </w:r>
      <w:r>
        <w:rPr>
          <w:rFonts w:ascii="Times New Roman" w:hAnsi="Times New Roman" w:cs="Times New Roman"/>
          <w:sz w:val="24"/>
          <w:szCs w:val="24"/>
        </w:rPr>
        <w:t xml:space="preserve"> Obec v právnom postavení akcionára VVS, a. s. má vo svojom vlastníctve podiel, zodpovedajúci konkrétnemu počtu akcií s konkrétnou menovitou hodnotou na základnom imaní, ktorý predstavuje majetok obce podľa § 1 ods. 2 zákona SNR č. 138/1991 Zb. o majetku obcí v z. n. p. </w:t>
      </w:r>
      <w:r>
        <w:rPr>
          <w:rFonts w:ascii="Times New Roman" w:hAnsi="Times New Roman" w:cs="Times New Roman"/>
          <w:i/>
          <w:iCs/>
          <w:sz w:val="24"/>
          <w:szCs w:val="24"/>
        </w:rPr>
        <w:t>(ďalej len „zákon o majetku obcí“)</w:t>
      </w:r>
      <w:r>
        <w:rPr>
          <w:rFonts w:ascii="Times New Roman" w:hAnsi="Times New Roman" w:cs="Times New Roman"/>
          <w:sz w:val="24"/>
          <w:szCs w:val="24"/>
        </w:rPr>
        <w:t xml:space="preserve">. Obec má vo vzťahu k takto vymedzenému majetku § 7 ods. 2 zákona o majetku obcí v spojení s § 8 ods. 3 zákona o obecnom zriadení definovanú povinnosť majetok zhodnocovať a zveľaďovať. Disponovanie s podielom obce na základnom imaní VVS, a. s. musí reflektovať primárny účel nakladania s majetkom obce, ktorým je ekonomický profit. Status akcionára vo VVS, a. s. priznáva obci v rozsahu jeho majetkových práv: právo na podiel na zisku a na likvidačnom zostatku pri likvidácii spoločnosti. Relevantným v čase trvania VVS, a. s. a statusu akcionára je právo na podiel na zisku, ktorý bol obci doposiaľ uhradený celkovo päťkrát. </w:t>
      </w:r>
    </w:p>
    <w:p w14:paraId="5CF21399">
      <w:pPr>
        <w:shd w:val="clear" w:color="auto" w:fill="FFFFFF"/>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Obec, reflektovaním požiadavky zveľaďovať a zhodnocovať obecný majetok pri disponovaní s podielom na základnom imaní VVS, a. s. má zámer previesť vlastnícke právo k jednotlivo určeným akciám, ktoré nahrádza hromadná akcia série B, ktorých menovitá hodnota tvorí základné imanie vo VVS, a. s., s nasledovnými údajmi:</w:t>
      </w:r>
    </w:p>
    <w:p w14:paraId="4DE6C580">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Počet prevádzaných akcií: </w:t>
      </w:r>
      <w:r>
        <w:rPr>
          <w:rFonts w:ascii="Times New Roman" w:hAnsi="Times New Roman" w:cs="Times New Roman"/>
          <w:b/>
          <w:bCs/>
          <w:sz w:val="24"/>
          <w:szCs w:val="24"/>
        </w:rPr>
        <w:t>akcie 3673 kusov</w:t>
      </w:r>
      <w:r>
        <w:rPr>
          <w:rFonts w:ascii="Times New Roman" w:hAnsi="Times New Roman" w:cs="Times New Roman"/>
          <w:sz w:val="24"/>
          <w:szCs w:val="24"/>
        </w:rPr>
        <w:t xml:space="preserve">, ktoré </w:t>
      </w:r>
      <w:r>
        <w:rPr>
          <w:rFonts w:ascii="Times New Roman" w:hAnsi="Times New Roman" w:cs="Times New Roman"/>
          <w:b/>
          <w:bCs/>
          <w:sz w:val="24"/>
          <w:szCs w:val="24"/>
        </w:rPr>
        <w:t>nahrádza jeden kus hromadnej akcie série B.</w:t>
      </w:r>
    </w:p>
    <w:p w14:paraId="29338F13">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b/>
          <w:bCs/>
          <w:sz w:val="24"/>
          <w:szCs w:val="24"/>
        </w:rPr>
        <w:t> </w:t>
      </w:r>
      <w:r>
        <w:rPr>
          <w:rFonts w:ascii="Times New Roman" w:hAnsi="Times New Roman" w:cs="Times New Roman"/>
          <w:sz w:val="24"/>
          <w:szCs w:val="24"/>
        </w:rPr>
        <w:t xml:space="preserve">Menovitá hodnota jedného kusu jednotlivo určenej akcie: </w:t>
      </w:r>
      <w:r>
        <w:rPr>
          <w:rFonts w:ascii="Times New Roman" w:hAnsi="Times New Roman" w:cs="Times New Roman"/>
          <w:b/>
          <w:bCs/>
          <w:sz w:val="24"/>
          <w:szCs w:val="24"/>
        </w:rPr>
        <w:t xml:space="preserve">33,- € </w:t>
      </w:r>
      <w:r>
        <w:rPr>
          <w:rFonts w:ascii="Times New Roman" w:hAnsi="Times New Roman" w:cs="Times New Roman"/>
          <w:b/>
          <w:bCs/>
          <w:i/>
          <w:iCs/>
          <w:sz w:val="24"/>
          <w:szCs w:val="24"/>
        </w:rPr>
        <w:t>(slovom tridsaťtri eur)</w:t>
      </w:r>
      <w:r>
        <w:rPr>
          <w:rFonts w:ascii="Times New Roman" w:hAnsi="Times New Roman" w:cs="Times New Roman"/>
          <w:sz w:val="24"/>
          <w:szCs w:val="24"/>
        </w:rPr>
        <w:t>.</w:t>
      </w:r>
    </w:p>
    <w:p w14:paraId="3A04A1FF">
      <w:pPr>
        <w:pStyle w:val="23"/>
        <w:tabs>
          <w:tab w:val="left" w:pos="284"/>
        </w:tabs>
        <w:spacing w:after="0" w:line="240" w:lineRule="auto"/>
        <w:ind w:left="567"/>
        <w:contextualSpacing w:val="0"/>
        <w:jc w:val="both"/>
        <w:rPr>
          <w:rFonts w:ascii="Times New Roman" w:hAnsi="Times New Roman" w:cs="Times New Roman"/>
          <w:sz w:val="24"/>
          <w:szCs w:val="24"/>
        </w:rPr>
      </w:pPr>
      <w:r>
        <w:rPr>
          <w:rFonts w:ascii="Times New Roman" w:hAnsi="Times New Roman" w:cs="Times New Roman"/>
          <w:sz w:val="24"/>
          <w:szCs w:val="24"/>
        </w:rPr>
        <w:t>Súhrnná menovitá hodnota prevádzanej hromadnej akcie série B je tvorená súčtom menovitých hodnôt jednotlivo určených akcií toho istého druhu, ktoré hromadná akcia série B nahrádza.</w:t>
      </w:r>
    </w:p>
    <w:p w14:paraId="5EC78229">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Podoba akcií, ktoré hromadná akcia série B nahrádza: </w:t>
      </w:r>
      <w:r>
        <w:rPr>
          <w:rFonts w:ascii="Times New Roman" w:hAnsi="Times New Roman" w:cs="Times New Roman"/>
          <w:b/>
          <w:bCs/>
          <w:sz w:val="24"/>
          <w:szCs w:val="24"/>
        </w:rPr>
        <w:t>listinné</w:t>
      </w:r>
      <w:r>
        <w:rPr>
          <w:rFonts w:ascii="Times New Roman" w:hAnsi="Times New Roman" w:cs="Times New Roman"/>
          <w:sz w:val="24"/>
          <w:szCs w:val="24"/>
        </w:rPr>
        <w:t>.</w:t>
      </w:r>
    </w:p>
    <w:p w14:paraId="26D94686">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Forma akcií, ktoré hromadná akcia série B nahrádza: </w:t>
      </w:r>
      <w:r>
        <w:rPr>
          <w:rFonts w:ascii="Times New Roman" w:hAnsi="Times New Roman" w:cs="Times New Roman"/>
          <w:b/>
          <w:bCs/>
          <w:sz w:val="24"/>
          <w:szCs w:val="24"/>
        </w:rPr>
        <w:t>na meno</w:t>
      </w:r>
      <w:r>
        <w:rPr>
          <w:rFonts w:ascii="Times New Roman" w:hAnsi="Times New Roman" w:cs="Times New Roman"/>
          <w:sz w:val="24"/>
          <w:szCs w:val="24"/>
        </w:rPr>
        <w:t>.</w:t>
      </w:r>
    </w:p>
    <w:p w14:paraId="78733E2B">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Druh akcií, ktoré hromadná akcia série B nahrádza: </w:t>
      </w:r>
      <w:r>
        <w:rPr>
          <w:rFonts w:ascii="Times New Roman" w:hAnsi="Times New Roman" w:cs="Times New Roman"/>
          <w:b/>
          <w:bCs/>
          <w:sz w:val="24"/>
          <w:szCs w:val="24"/>
        </w:rPr>
        <w:t>kmeňové s obmedzenou prevoditeľnosťou</w:t>
      </w:r>
      <w:r>
        <w:rPr>
          <w:rFonts w:ascii="Times New Roman" w:hAnsi="Times New Roman" w:cs="Times New Roman"/>
          <w:sz w:val="24"/>
          <w:szCs w:val="24"/>
        </w:rPr>
        <w:t>.</w:t>
      </w:r>
      <w:r>
        <w:rPr>
          <w:rFonts w:ascii="Times New Roman" w:hAnsi="Times New Roman" w:cs="Times New Roman"/>
          <w:b/>
          <w:bCs/>
          <w:sz w:val="24"/>
          <w:szCs w:val="24"/>
        </w:rPr>
        <w:t> </w:t>
      </w:r>
    </w:p>
    <w:p w14:paraId="7825005D">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ISIN akcií: </w:t>
      </w:r>
      <w:r>
        <w:rPr>
          <w:rFonts w:ascii="Times New Roman" w:hAnsi="Times New Roman" w:cs="Times New Roman"/>
          <w:b/>
          <w:bCs/>
          <w:sz w:val="24"/>
          <w:szCs w:val="24"/>
        </w:rPr>
        <w:t>nebol pridelený</w:t>
      </w:r>
      <w:r>
        <w:rPr>
          <w:rFonts w:ascii="Times New Roman" w:hAnsi="Times New Roman" w:cs="Times New Roman"/>
          <w:sz w:val="24"/>
          <w:szCs w:val="24"/>
        </w:rPr>
        <w:t>.</w:t>
      </w:r>
    </w:p>
    <w:p w14:paraId="3E8BDCA8">
      <w:pPr>
        <w:pStyle w:val="23"/>
        <w:tabs>
          <w:tab w:val="left" w:pos="284"/>
        </w:tabs>
        <w:spacing w:after="0" w:line="240" w:lineRule="auto"/>
        <w:ind w:left="567"/>
        <w:jc w:val="right"/>
        <w:rPr>
          <w:rFonts w:ascii="Times New Roman" w:hAnsi="Times New Roman" w:cs="Times New Roman"/>
          <w:sz w:val="24"/>
          <w:szCs w:val="24"/>
        </w:rPr>
      </w:pPr>
      <w:r>
        <w:rPr>
          <w:rFonts w:ascii="Times New Roman" w:hAnsi="Times New Roman" w:cs="Times New Roman"/>
          <w:i/>
          <w:iCs/>
          <w:sz w:val="24"/>
          <w:szCs w:val="24"/>
        </w:rPr>
        <w:t>(ďalej aj „hromadná akcia série B“ alebo „predmet zamýšľaného prevodu“)</w:t>
      </w:r>
      <w:r>
        <w:rPr>
          <w:rFonts w:ascii="Times New Roman" w:hAnsi="Times New Roman" w:cs="Times New Roman"/>
          <w:sz w:val="24"/>
          <w:szCs w:val="24"/>
        </w:rPr>
        <w:t>.</w:t>
      </w:r>
    </w:p>
    <w:p w14:paraId="169CF007">
      <w:pPr>
        <w:pStyle w:val="23"/>
        <w:tabs>
          <w:tab w:val="left" w:pos="0"/>
        </w:tabs>
        <w:spacing w:after="0" w:line="240" w:lineRule="auto"/>
        <w:ind w:left="0" w:firstLine="284"/>
        <w:jc w:val="both"/>
        <w:rPr>
          <w:rFonts w:ascii="Times New Roman" w:hAnsi="Times New Roman" w:cs="Times New Roman"/>
          <w:sz w:val="24"/>
          <w:szCs w:val="24"/>
        </w:rPr>
      </w:pPr>
    </w:p>
    <w:p w14:paraId="1DB0EB9A">
      <w:pPr>
        <w:pStyle w:val="23"/>
        <w:tabs>
          <w:tab w:val="left" w:pos="0"/>
        </w:tabs>
        <w:spacing w:after="0" w:line="240" w:lineRule="auto"/>
        <w:ind w:left="0" w:firstLine="284"/>
        <w:jc w:val="both"/>
        <w:rPr>
          <w:rFonts w:ascii="Times New Roman" w:hAnsi="Times New Roman" w:cs="Times New Roman"/>
          <w:sz w:val="24"/>
          <w:szCs w:val="24"/>
        </w:rPr>
      </w:pPr>
      <w:r>
        <w:rPr>
          <w:rFonts w:ascii="Times New Roman" w:hAnsi="Times New Roman" w:cs="Times New Roman"/>
          <w:sz w:val="24"/>
          <w:szCs w:val="24"/>
        </w:rPr>
        <w:t xml:space="preserve">Prevod vlastníckeho práva k hromadnej akcii série B bude realizovaný odplatne na právnom základe zmluvy o prevode akcií v intenciách § 30 zákona č. 566/2001 Z. z. o cenných papieroch a investičných službách a o zmene a doplnení niektorých zákonov (zákon o cenných papieroch) v z. n. p. </w:t>
      </w:r>
      <w:r>
        <w:rPr>
          <w:rFonts w:ascii="Times New Roman" w:hAnsi="Times New Roman" w:cs="Times New Roman"/>
          <w:i/>
          <w:iCs/>
          <w:sz w:val="24"/>
          <w:szCs w:val="24"/>
        </w:rPr>
        <w:t xml:space="preserve">(ďalej aj „zákon o cenných papieroch“) </w:t>
      </w:r>
      <w:r>
        <w:rPr>
          <w:rFonts w:ascii="Times New Roman" w:hAnsi="Times New Roman" w:cs="Times New Roman"/>
          <w:sz w:val="24"/>
          <w:szCs w:val="24"/>
        </w:rPr>
        <w:t xml:space="preserve">v spojení s § 409 a nasl. zákona č. 513/1991 Zb. Obchodný zákonník v z. n. p. </w:t>
      </w:r>
      <w:r>
        <w:rPr>
          <w:rFonts w:ascii="Times New Roman" w:hAnsi="Times New Roman" w:cs="Times New Roman"/>
          <w:i/>
          <w:iCs/>
          <w:sz w:val="24"/>
          <w:szCs w:val="24"/>
        </w:rPr>
        <w:t>(ďalej aj „Obchodný zákonník“)</w:t>
      </w:r>
      <w:r>
        <w:rPr>
          <w:rFonts w:ascii="Times New Roman" w:hAnsi="Times New Roman" w:cs="Times New Roman"/>
          <w:sz w:val="24"/>
          <w:szCs w:val="24"/>
        </w:rPr>
        <w:t xml:space="preserve">. Obec stanovuje minimálnu sumu kúpnej ceny za prevod jedného kusu jednotlivo určenej akcie vo VVS, a. s. v celkovej výške 13,27,- € </w:t>
      </w:r>
      <w:r>
        <w:rPr>
          <w:rFonts w:ascii="Times New Roman" w:hAnsi="Times New Roman" w:cs="Times New Roman"/>
          <w:i/>
          <w:iCs/>
          <w:sz w:val="24"/>
          <w:szCs w:val="24"/>
        </w:rPr>
        <w:t>(slovom trinásť eur dvadsaťsedem centov)</w:t>
      </w:r>
      <w:r>
        <w:rPr>
          <w:rFonts w:ascii="Times New Roman" w:hAnsi="Times New Roman" w:cs="Times New Roman"/>
          <w:sz w:val="24"/>
          <w:szCs w:val="24"/>
        </w:rPr>
        <w:t xml:space="preserve">. </w:t>
      </w:r>
    </w:p>
    <w:p w14:paraId="274B291F">
      <w:pPr>
        <w:pStyle w:val="23"/>
        <w:tabs>
          <w:tab w:val="left" w:pos="0"/>
        </w:tabs>
        <w:spacing w:after="0" w:line="240" w:lineRule="auto"/>
        <w:ind w:left="0" w:firstLine="284"/>
        <w:jc w:val="both"/>
        <w:rPr>
          <w:rFonts w:ascii="Times New Roman" w:hAnsi="Times New Roman" w:cs="Times New Roman"/>
          <w:sz w:val="24"/>
          <w:szCs w:val="24"/>
        </w:rPr>
      </w:pPr>
      <w:r>
        <w:rPr>
          <w:rFonts w:ascii="Times New Roman" w:hAnsi="Times New Roman" w:cs="Times New Roman"/>
          <w:sz w:val="24"/>
          <w:szCs w:val="24"/>
        </w:rPr>
        <w:t xml:space="preserve">Odplatnosť prevodu vlastníckeho práva k hromadnej akcii série B obec reflektuje aj v požadovanom záväzku vybraného účastníka súťaže, ktorý spočíva v prevode vlastníckeho práva ku konkrétnemu počtu dlhopisov Voda Spieva I. emitovaných VVS, a. s. za konkrétnu upisovaciu/kúpnu cenu v prospech obce. Dlhopismi sa rozumejú nezabezpečené dlhopisy vydané podľa slovenského práva s pevným úrokovým výnosom vo výške 6,00 % p. a. vo forme na meno, v zaknihovanej podobe, v menovitej hodnote 13,28,- € </w:t>
      </w:r>
      <w:r>
        <w:rPr>
          <w:rFonts w:ascii="Times New Roman" w:hAnsi="Times New Roman" w:cs="Times New Roman"/>
          <w:i/>
          <w:iCs/>
          <w:sz w:val="24"/>
          <w:szCs w:val="24"/>
        </w:rPr>
        <w:t>(slovom trinásť eur dvadsaťosem centov)</w:t>
      </w:r>
      <w:r>
        <w:rPr>
          <w:rFonts w:ascii="Times New Roman" w:hAnsi="Times New Roman" w:cs="Times New Roman"/>
          <w:sz w:val="24"/>
          <w:szCs w:val="24"/>
        </w:rPr>
        <w:t xml:space="preserve">, splatné v roku 2044, s právom predčasného splatenia zo strany emitenta počnúc rokom 2034, ISIN: SK4000023198. Počet prevádzaných dlhopisov by mal byť totožný s počtom kusov prevádzaných jednotlivo určených akcií a navrhovaná upisovacia/kúpna cena by mala byť maximálne v sume súčtu/súčtov menovitej hodnoty prevádzaných dlhopisov. </w:t>
      </w:r>
    </w:p>
    <w:p w14:paraId="09754A41">
      <w:pPr>
        <w:pStyle w:val="23"/>
        <w:shd w:val="clear" w:color="auto" w:fill="FFFFFF" w:themeFill="background1"/>
        <w:tabs>
          <w:tab w:val="left" w:pos="0"/>
        </w:tabs>
        <w:spacing w:after="0" w:line="240" w:lineRule="auto"/>
        <w:ind w:left="0" w:firstLine="284"/>
        <w:jc w:val="both"/>
        <w:rPr>
          <w:rFonts w:ascii="Times New Roman" w:hAnsi="Times New Roman" w:cs="Times New Roman"/>
          <w:sz w:val="24"/>
          <w:szCs w:val="24"/>
        </w:rPr>
      </w:pPr>
      <w:r>
        <w:rPr>
          <w:rFonts w:ascii="Times New Roman" w:hAnsi="Times New Roman" w:cs="Times New Roman"/>
          <w:sz w:val="24"/>
          <w:szCs w:val="24"/>
        </w:rPr>
        <w:t xml:space="preserve">Predmetom záväzku vybraného účastníka súťaže je povinnosť uhradiť ním navrhovanú kúpnu cenu za hromadnú akciu nahrádzajúcu jednotlivo určené akcie v majetku obce a hromadnú akciu prevziať. Synalagmatickým záväzkom obce je hromadnú akciu odovzdať a previesť vlastnícke právo k nej. Obec zabezpečí modifikáciu pôvodnej hromadnej akcie, ktorej súhrnná menovitá hodnota zodpovedá podielu na základnom imaní VVS, a. s., na novú hromadnú akciu série B nahrádzajúcu 3673 jednotlivo určených akcií, ktoré majú byť predmetom prevodu a novú jednotlivo určenú akciu, ktorú si ponechá vo svojom vlastníctve. Celkový počet jednotlivo určenej akcie, ktorú si obec ponechá vo svojom vlastníctve je 1 </w:t>
      </w:r>
      <w:r>
        <w:rPr>
          <w:rFonts w:ascii="Times New Roman" w:hAnsi="Times New Roman" w:cs="Times New Roman"/>
          <w:i/>
          <w:iCs/>
          <w:sz w:val="24"/>
          <w:szCs w:val="24"/>
        </w:rPr>
        <w:t>(slovom jedna)</w:t>
      </w:r>
      <w:r>
        <w:rPr>
          <w:rFonts w:ascii="Times New Roman" w:hAnsi="Times New Roman" w:cs="Times New Roman"/>
          <w:sz w:val="24"/>
          <w:szCs w:val="24"/>
        </w:rPr>
        <w:t xml:space="preserve"> akcia.</w:t>
      </w:r>
    </w:p>
    <w:p w14:paraId="73AE57BB">
      <w:pPr>
        <w:pStyle w:val="23"/>
        <w:tabs>
          <w:tab w:val="left" w:pos="0"/>
        </w:tabs>
        <w:spacing w:after="0" w:line="240" w:lineRule="auto"/>
        <w:ind w:left="0" w:firstLine="284"/>
        <w:jc w:val="both"/>
        <w:rPr>
          <w:rFonts w:ascii="Palatino Linotype" w:hAnsi="Palatino Linotype"/>
          <w:sz w:val="20"/>
          <w:szCs w:val="20"/>
        </w:rPr>
      </w:pPr>
    </w:p>
    <w:p w14:paraId="7A466A2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279F040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7A64246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6ED4639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4</w:t>
            </w:r>
          </w:p>
          <w:p w14:paraId="64FDADA3">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72FB23F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 Fučková, Horóckyová Valéria , PhDr.,MPH , J. Kováč, , P. Zelenáková</w:t>
            </w:r>
          </w:p>
        </w:tc>
      </w:tr>
      <w:tr w14:paraId="47AC811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1A6A902F">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052A166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1</w:t>
            </w:r>
          </w:p>
        </w:tc>
        <w:tc>
          <w:tcPr>
            <w:tcW w:w="3250" w:type="pct"/>
            <w:tcBorders>
              <w:top w:val="outset" w:color="000000" w:sz="6" w:space="0"/>
              <w:left w:val="outset" w:color="000000" w:sz="6" w:space="0"/>
              <w:bottom w:val="outset" w:color="000000" w:sz="6" w:space="0"/>
              <w:right w:val="outset" w:color="000000" w:sz="6" w:space="0"/>
            </w:tcBorders>
          </w:tcPr>
          <w:p w14:paraId="3AAADB51">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Š. Zselenák</w:t>
            </w:r>
          </w:p>
        </w:tc>
      </w:tr>
      <w:tr w14:paraId="3F84D43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3FE191A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4B9D408E">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6AC26AB7">
            <w:pPr>
              <w:spacing w:before="100" w:beforeAutospacing="1" w:after="0" w:line="240" w:lineRule="auto"/>
              <w:rPr>
                <w:rFonts w:ascii="Times New Roman" w:hAnsi="Times New Roman" w:eastAsia="Times New Roman" w:cs="Times New Roman"/>
                <w:sz w:val="24"/>
                <w:szCs w:val="24"/>
                <w:lang w:eastAsia="sk-SK"/>
              </w:rPr>
            </w:pPr>
          </w:p>
        </w:tc>
      </w:tr>
      <w:tr w14:paraId="697A9B5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rHeight w:val="127" w:hRule="atLeast"/>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65CECEE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49E423DF">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2</w:t>
            </w:r>
          </w:p>
        </w:tc>
        <w:tc>
          <w:tcPr>
            <w:tcW w:w="3250" w:type="pct"/>
            <w:tcBorders>
              <w:top w:val="outset" w:color="000000" w:sz="6" w:space="0"/>
              <w:left w:val="outset" w:color="000000" w:sz="6" w:space="0"/>
              <w:bottom w:val="outset" w:color="000000" w:sz="6" w:space="0"/>
              <w:right w:val="outset" w:color="000000" w:sz="6" w:space="0"/>
            </w:tcBorders>
          </w:tcPr>
          <w:p w14:paraId="50410571">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1FA52F0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1F0A90D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i/>
          <w:iCs/>
          <w:sz w:val="24"/>
          <w:szCs w:val="24"/>
          <w:lang w:eastAsia="sk-SK"/>
        </w:rPr>
        <w:t>V Svätej Márii, dňa: ….....................................</w:t>
      </w:r>
    </w:p>
    <w:p w14:paraId="442F7078">
      <w:pPr>
        <w:spacing w:before="100" w:beforeAutospacing="1" w:after="0" w:line="240" w:lineRule="auto"/>
        <w:rPr>
          <w:rFonts w:ascii="Times New Roman" w:hAnsi="Times New Roman" w:eastAsia="Times New Roman" w:cs="Times New Roman"/>
          <w:b/>
          <w:bCs/>
          <w:i/>
          <w:iCs/>
          <w:sz w:val="26"/>
          <w:szCs w:val="26"/>
          <w:lang w:eastAsia="sk-SK"/>
        </w:rPr>
      </w:pPr>
      <w:r>
        <w:rPr>
          <w:rFonts w:ascii="Times New Roman" w:hAnsi="Times New Roman" w:eastAsia="Times New Roman" w:cs="Times New Roman"/>
          <w:b/>
          <w:bCs/>
          <w:i/>
          <w:iCs/>
          <w:sz w:val="26"/>
          <w:szCs w:val="26"/>
          <w:lang w:eastAsia="sk-SK"/>
        </w:rPr>
        <w:t>Uznesenie č. 14/2025/c</w:t>
      </w:r>
    </w:p>
    <w:p w14:paraId="20098AA9">
      <w:pPr>
        <w:tabs>
          <w:tab w:val="left" w:pos="0"/>
          <w:tab w:val="left" w:pos="851"/>
        </w:tabs>
        <w:spacing w:after="0" w:line="240" w:lineRule="auto"/>
        <w:jc w:val="both"/>
        <w:rPr>
          <w:rFonts w:ascii="Times New Roman" w:hAnsi="Times New Roman" w:cs="Times New Roman"/>
          <w:b/>
          <w:i/>
          <w:sz w:val="24"/>
          <w:szCs w:val="24"/>
        </w:rPr>
      </w:pPr>
    </w:p>
    <w:p w14:paraId="44649C56">
      <w:pPr>
        <w:tabs>
          <w:tab w:val="left" w:pos="0"/>
          <w:tab w:val="left" w:pos="851"/>
        </w:tabs>
        <w:spacing w:after="0" w:line="240" w:lineRule="auto"/>
        <w:jc w:val="both"/>
        <w:rPr>
          <w:rFonts w:ascii="Times New Roman" w:hAnsi="Times New Roman" w:cs="Times New Roman"/>
          <w:i/>
          <w:sz w:val="24"/>
          <w:szCs w:val="24"/>
        </w:rPr>
      </w:pPr>
      <w:r>
        <w:rPr>
          <w:rFonts w:ascii="Times New Roman" w:hAnsi="Times New Roman" w:cs="Times New Roman"/>
          <w:b/>
          <w:i/>
          <w:sz w:val="24"/>
          <w:szCs w:val="24"/>
        </w:rPr>
        <w:t>Obecné zastupiteľstvo obce Svätá Mária</w:t>
      </w:r>
    </w:p>
    <w:p w14:paraId="62CE7405">
      <w:pPr>
        <w:spacing w:after="0" w:line="240" w:lineRule="auto"/>
        <w:rPr>
          <w:rFonts w:ascii="Times New Roman" w:hAnsi="Times New Roman" w:cs="Times New Roman"/>
          <w:i/>
          <w:sz w:val="24"/>
          <w:szCs w:val="24"/>
        </w:rPr>
      </w:pPr>
    </w:p>
    <w:p w14:paraId="2545C96C">
      <w:pPr>
        <w:spacing w:after="0" w:line="240" w:lineRule="auto"/>
        <w:jc w:val="both"/>
        <w:rPr>
          <w:rFonts w:ascii="Times New Roman" w:hAnsi="Times New Roman" w:cs="Times New Roman"/>
          <w:b/>
          <w:bCs/>
          <w:iCs/>
          <w:sz w:val="24"/>
          <w:szCs w:val="24"/>
        </w:rPr>
      </w:pPr>
      <w:r>
        <w:rPr>
          <w:rFonts w:ascii="Times New Roman" w:hAnsi="Times New Roman" w:cs="Times New Roman"/>
          <w:b/>
          <w:bCs/>
          <w:iCs/>
          <w:sz w:val="24"/>
          <w:szCs w:val="24"/>
        </w:rPr>
        <w:t xml:space="preserve">schvaľuje </w:t>
      </w:r>
    </w:p>
    <w:p w14:paraId="014CF367">
      <w:pPr>
        <w:pStyle w:val="23"/>
        <w:tabs>
          <w:tab w:val="left" w:pos="284"/>
        </w:tabs>
        <w:spacing w:after="0" w:line="240" w:lineRule="auto"/>
        <w:ind w:left="0"/>
        <w:contextualSpacing w:val="0"/>
        <w:jc w:val="both"/>
        <w:rPr>
          <w:rFonts w:ascii="Times New Roman" w:hAnsi="Times New Roman" w:cs="Times New Roman"/>
          <w:sz w:val="24"/>
          <w:szCs w:val="24"/>
        </w:rPr>
      </w:pPr>
    </w:p>
    <w:p w14:paraId="00226E9E">
      <w:pPr>
        <w:tabs>
          <w:tab w:val="left" w:pos="284"/>
        </w:tabs>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podľa § 9 ods. 2 písm. a) v spojení s § 9a ods. 1 písm. a) zákona SNR č. 138/1991 Zb. o majetku obcí v z. n. p. (ďalej len „zákon o majetku obcí“) </w:t>
      </w:r>
    </w:p>
    <w:p w14:paraId="43FA5FB8">
      <w:pPr>
        <w:tabs>
          <w:tab w:val="left" w:pos="284"/>
        </w:tabs>
        <w:spacing w:after="0" w:line="240" w:lineRule="auto"/>
        <w:jc w:val="both"/>
        <w:rPr>
          <w:rFonts w:ascii="Times New Roman" w:hAnsi="Times New Roman" w:cs="Times New Roman"/>
          <w:b/>
          <w:bCs/>
          <w:sz w:val="24"/>
          <w:szCs w:val="24"/>
        </w:rPr>
      </w:pPr>
    </w:p>
    <w:p w14:paraId="7736DD48">
      <w:pPr>
        <w:spacing w:after="0" w:line="240" w:lineRule="auto"/>
        <w:jc w:val="both"/>
        <w:rPr>
          <w:rFonts w:ascii="Times New Roman" w:hAnsi="Times New Roman" w:cs="Times New Roman"/>
          <w:sz w:val="24"/>
          <w:szCs w:val="24"/>
        </w:rPr>
      </w:pPr>
      <w:r>
        <w:rPr>
          <w:rFonts w:ascii="Times New Roman" w:hAnsi="Times New Roman" w:cs="Times New Roman"/>
          <w:b/>
          <w:bCs/>
          <w:iCs/>
          <w:sz w:val="24"/>
          <w:szCs w:val="24"/>
        </w:rPr>
        <w:t xml:space="preserve">spôsob prevodu hromadnej akcie série B </w:t>
      </w:r>
      <w:r>
        <w:rPr>
          <w:rFonts w:ascii="Times New Roman" w:hAnsi="Times New Roman" w:cs="Times New Roman"/>
          <w:b/>
          <w:bCs/>
          <w:sz w:val="24"/>
          <w:szCs w:val="24"/>
        </w:rPr>
        <w:t xml:space="preserve">obce Svätá Mária </w:t>
      </w:r>
      <w:r>
        <w:rPr>
          <w:rFonts w:ascii="Times New Roman" w:hAnsi="Times New Roman" w:cs="Times New Roman"/>
          <w:b/>
          <w:bCs/>
          <w:i/>
          <w:iCs/>
          <w:sz w:val="24"/>
          <w:szCs w:val="24"/>
        </w:rPr>
        <w:t>(ďalej len „obec“)</w:t>
      </w:r>
      <w:r>
        <w:rPr>
          <w:rFonts w:ascii="Times New Roman" w:hAnsi="Times New Roman" w:cs="Times New Roman"/>
          <w:b/>
          <w:bCs/>
          <w:sz w:val="24"/>
          <w:szCs w:val="24"/>
        </w:rPr>
        <w:t xml:space="preserve"> v obchodnej spoločnosti Východoslovenská vodárenská spoločnosť, a. s. spôsobom (formou) obchodnej verejnej súťaže</w:t>
      </w:r>
      <w:r>
        <w:rPr>
          <w:rFonts w:ascii="Times New Roman" w:hAnsi="Times New Roman" w:cs="Times New Roman"/>
          <w:sz w:val="24"/>
          <w:szCs w:val="24"/>
        </w:rPr>
        <w:t>.</w:t>
      </w:r>
    </w:p>
    <w:p w14:paraId="0ED419E1">
      <w:pPr>
        <w:spacing w:after="0" w:line="240" w:lineRule="auto"/>
        <w:jc w:val="both"/>
        <w:rPr>
          <w:rFonts w:ascii="Times New Roman" w:hAnsi="Times New Roman" w:cs="Times New Roman"/>
          <w:sz w:val="24"/>
          <w:szCs w:val="24"/>
        </w:rPr>
      </w:pPr>
    </w:p>
    <w:p w14:paraId="79F196D7">
      <w:pPr>
        <w:shd w:val="clear" w:color="auto" w:fill="FFFFFF"/>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Obec Svätá Mária má zámer previesť vlastnícke právo k jednotlivo určeným akciám, nahradených hromadnou akciou série B, ktorých menovitá hodnota tvorí základné imanie v obchodnej spoločnosti Východoslovenská vodárenská spoločnosť, a. s., IČO: 36 570 460, so sídlom Komenského 50, 042 48 Košice, zapísanej v Obchodnom registri Mestského súdu Košice, Oddiel: Sa, Vložka číslo: 1243/V </w:t>
      </w:r>
      <w:r>
        <w:rPr>
          <w:rFonts w:ascii="Times New Roman" w:hAnsi="Times New Roman" w:cs="Times New Roman"/>
          <w:i/>
          <w:iCs/>
          <w:sz w:val="24"/>
          <w:szCs w:val="24"/>
        </w:rPr>
        <w:t>(ďalej aj „VVS, a. s.“, „ akciová spoločnosť“ alebo „spoločnosť“)</w:t>
      </w:r>
      <w:r>
        <w:rPr>
          <w:rFonts w:ascii="Times New Roman" w:hAnsi="Times New Roman" w:cs="Times New Roman"/>
          <w:sz w:val="24"/>
          <w:szCs w:val="24"/>
        </w:rPr>
        <w:t>, s nasledovnými údajmi:</w:t>
      </w:r>
    </w:p>
    <w:p w14:paraId="4434A899">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Počet prevádzaných akcií: </w:t>
      </w:r>
      <w:r>
        <w:rPr>
          <w:rFonts w:ascii="Times New Roman" w:hAnsi="Times New Roman" w:cs="Times New Roman"/>
          <w:b/>
          <w:bCs/>
          <w:sz w:val="24"/>
          <w:szCs w:val="24"/>
        </w:rPr>
        <w:t>akcie 3673 kusov</w:t>
      </w:r>
      <w:r>
        <w:rPr>
          <w:rFonts w:ascii="Times New Roman" w:hAnsi="Times New Roman" w:cs="Times New Roman"/>
          <w:sz w:val="24"/>
          <w:szCs w:val="24"/>
        </w:rPr>
        <w:t xml:space="preserve">, ktoré </w:t>
      </w:r>
      <w:r>
        <w:rPr>
          <w:rFonts w:ascii="Times New Roman" w:hAnsi="Times New Roman" w:cs="Times New Roman"/>
          <w:b/>
          <w:bCs/>
          <w:sz w:val="24"/>
          <w:szCs w:val="24"/>
        </w:rPr>
        <w:t>nahrádza jeden kus hromadnej akcie série B</w:t>
      </w:r>
      <w:r>
        <w:rPr>
          <w:rFonts w:ascii="Times New Roman" w:hAnsi="Times New Roman" w:cs="Times New Roman"/>
          <w:sz w:val="24"/>
          <w:szCs w:val="24"/>
        </w:rPr>
        <w:t>.</w:t>
      </w:r>
    </w:p>
    <w:p w14:paraId="3334BE0A">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b/>
          <w:bCs/>
          <w:sz w:val="24"/>
          <w:szCs w:val="24"/>
        </w:rPr>
        <w:t> </w:t>
      </w:r>
      <w:r>
        <w:rPr>
          <w:rFonts w:ascii="Times New Roman" w:hAnsi="Times New Roman" w:cs="Times New Roman"/>
          <w:sz w:val="24"/>
          <w:szCs w:val="24"/>
        </w:rPr>
        <w:t xml:space="preserve">Menovitá hodnota jedného kusu jednotlivo určenej akcie: </w:t>
      </w:r>
      <w:r>
        <w:rPr>
          <w:rFonts w:ascii="Times New Roman" w:hAnsi="Times New Roman" w:cs="Times New Roman"/>
          <w:b/>
          <w:bCs/>
          <w:sz w:val="24"/>
          <w:szCs w:val="24"/>
        </w:rPr>
        <w:t xml:space="preserve">33,- € </w:t>
      </w:r>
      <w:r>
        <w:rPr>
          <w:rFonts w:ascii="Times New Roman" w:hAnsi="Times New Roman" w:cs="Times New Roman"/>
          <w:b/>
          <w:bCs/>
          <w:i/>
          <w:iCs/>
          <w:sz w:val="24"/>
          <w:szCs w:val="24"/>
        </w:rPr>
        <w:t>(slovom tridsaťtri eur)</w:t>
      </w:r>
      <w:r>
        <w:rPr>
          <w:rFonts w:ascii="Times New Roman" w:hAnsi="Times New Roman" w:cs="Times New Roman"/>
          <w:sz w:val="24"/>
          <w:szCs w:val="24"/>
        </w:rPr>
        <w:t>.</w:t>
      </w:r>
    </w:p>
    <w:p w14:paraId="096B51EA">
      <w:pPr>
        <w:pStyle w:val="23"/>
        <w:tabs>
          <w:tab w:val="left" w:pos="284"/>
        </w:tabs>
        <w:spacing w:after="0" w:line="240" w:lineRule="auto"/>
        <w:ind w:left="567"/>
        <w:contextualSpacing w:val="0"/>
        <w:jc w:val="both"/>
        <w:rPr>
          <w:rFonts w:ascii="Times New Roman" w:hAnsi="Times New Roman" w:cs="Times New Roman"/>
          <w:sz w:val="24"/>
          <w:szCs w:val="24"/>
        </w:rPr>
      </w:pPr>
      <w:r>
        <w:rPr>
          <w:rFonts w:ascii="Times New Roman" w:hAnsi="Times New Roman" w:cs="Times New Roman"/>
          <w:sz w:val="24"/>
          <w:szCs w:val="24"/>
        </w:rPr>
        <w:t>Súhrnná menovitá hodnota prevádzanej hromadnej akcie série B je tvorená súčtom menovitých hodnôt jednotlivo určených akcií toho istého druhu, ktoré hromadná akcia série B nahrádza.</w:t>
      </w:r>
    </w:p>
    <w:p w14:paraId="75322E09">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Podoba akcií, ktoré hromadná akcia série B nahrádza: </w:t>
      </w:r>
      <w:r>
        <w:rPr>
          <w:rFonts w:ascii="Times New Roman" w:hAnsi="Times New Roman" w:cs="Times New Roman"/>
          <w:b/>
          <w:bCs/>
          <w:sz w:val="24"/>
          <w:szCs w:val="24"/>
        </w:rPr>
        <w:t>listinné</w:t>
      </w:r>
      <w:r>
        <w:rPr>
          <w:rFonts w:ascii="Times New Roman" w:hAnsi="Times New Roman" w:cs="Times New Roman"/>
          <w:sz w:val="24"/>
          <w:szCs w:val="24"/>
        </w:rPr>
        <w:t>.</w:t>
      </w:r>
    </w:p>
    <w:p w14:paraId="211CF9AB">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Forma akcií, ktoré hromadná akcia série B nahrádza: </w:t>
      </w:r>
      <w:r>
        <w:rPr>
          <w:rFonts w:ascii="Times New Roman" w:hAnsi="Times New Roman" w:cs="Times New Roman"/>
          <w:b/>
          <w:bCs/>
          <w:sz w:val="24"/>
          <w:szCs w:val="24"/>
        </w:rPr>
        <w:t>na meno</w:t>
      </w:r>
      <w:r>
        <w:rPr>
          <w:rFonts w:ascii="Times New Roman" w:hAnsi="Times New Roman" w:cs="Times New Roman"/>
          <w:sz w:val="24"/>
          <w:szCs w:val="24"/>
        </w:rPr>
        <w:t>.</w:t>
      </w:r>
    </w:p>
    <w:p w14:paraId="6FA2EC43">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Druh akcií, ktoré hromadná akcia série B nahrádza: </w:t>
      </w:r>
      <w:r>
        <w:rPr>
          <w:rFonts w:ascii="Times New Roman" w:hAnsi="Times New Roman" w:cs="Times New Roman"/>
          <w:b/>
          <w:bCs/>
          <w:sz w:val="24"/>
          <w:szCs w:val="24"/>
        </w:rPr>
        <w:t>kmeňové s obmedzenou prevoditeľnosťou</w:t>
      </w:r>
      <w:r>
        <w:rPr>
          <w:rFonts w:ascii="Times New Roman" w:hAnsi="Times New Roman" w:cs="Times New Roman"/>
          <w:sz w:val="24"/>
          <w:szCs w:val="24"/>
        </w:rPr>
        <w:t>.</w:t>
      </w:r>
      <w:r>
        <w:rPr>
          <w:rFonts w:ascii="Times New Roman" w:hAnsi="Times New Roman" w:cs="Times New Roman"/>
          <w:b/>
          <w:bCs/>
          <w:sz w:val="24"/>
          <w:szCs w:val="24"/>
        </w:rPr>
        <w:t> </w:t>
      </w:r>
    </w:p>
    <w:p w14:paraId="584EA9B2">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ISIN akcií: </w:t>
      </w:r>
      <w:r>
        <w:rPr>
          <w:rFonts w:ascii="Times New Roman" w:hAnsi="Times New Roman" w:cs="Times New Roman"/>
          <w:b/>
          <w:bCs/>
          <w:sz w:val="24"/>
          <w:szCs w:val="24"/>
        </w:rPr>
        <w:t>nebol pridelený</w:t>
      </w:r>
      <w:r>
        <w:rPr>
          <w:rFonts w:ascii="Times New Roman" w:hAnsi="Times New Roman" w:cs="Times New Roman"/>
          <w:sz w:val="24"/>
          <w:szCs w:val="24"/>
        </w:rPr>
        <w:t>.</w:t>
      </w:r>
    </w:p>
    <w:p w14:paraId="5CD0E5F5">
      <w:pPr>
        <w:pStyle w:val="23"/>
        <w:tabs>
          <w:tab w:val="left" w:pos="284"/>
        </w:tabs>
        <w:spacing w:after="0" w:line="240" w:lineRule="auto"/>
        <w:ind w:left="567"/>
        <w:contextualSpacing w:val="0"/>
        <w:jc w:val="right"/>
        <w:rPr>
          <w:rFonts w:ascii="Times New Roman" w:hAnsi="Times New Roman" w:cs="Times New Roman"/>
          <w:sz w:val="24"/>
          <w:szCs w:val="24"/>
        </w:rPr>
      </w:pPr>
      <w:r>
        <w:rPr>
          <w:rFonts w:ascii="Times New Roman" w:hAnsi="Times New Roman" w:cs="Times New Roman"/>
          <w:i/>
          <w:iCs/>
          <w:sz w:val="24"/>
          <w:szCs w:val="24"/>
        </w:rPr>
        <w:t>(ďalej aj „hromadná akcia série B“ alebo „predmet zamýšľaného prevodu“)</w:t>
      </w:r>
      <w:r>
        <w:rPr>
          <w:rFonts w:ascii="Times New Roman" w:hAnsi="Times New Roman" w:cs="Times New Roman"/>
          <w:sz w:val="24"/>
          <w:szCs w:val="24"/>
        </w:rPr>
        <w:t>.</w:t>
      </w:r>
    </w:p>
    <w:p w14:paraId="5512CF1B">
      <w:pPr>
        <w:pStyle w:val="23"/>
        <w:tabs>
          <w:tab w:val="left" w:pos="0"/>
        </w:tabs>
        <w:spacing w:after="0" w:line="240" w:lineRule="auto"/>
        <w:ind w:left="0" w:firstLine="284"/>
        <w:contextualSpacing w:val="0"/>
        <w:jc w:val="both"/>
        <w:rPr>
          <w:rFonts w:ascii="Times New Roman" w:hAnsi="Times New Roman" w:cs="Times New Roman"/>
          <w:sz w:val="24"/>
          <w:szCs w:val="24"/>
        </w:rPr>
      </w:pPr>
      <w:r>
        <w:rPr>
          <w:rFonts w:ascii="Times New Roman" w:hAnsi="Times New Roman" w:cs="Times New Roman"/>
          <w:sz w:val="24"/>
          <w:szCs w:val="24"/>
        </w:rPr>
        <w:t xml:space="preserve">Prevod vlastníckeho práva k hromadnej akcii série B bude realizovaný odplatne na právnom základe zmluvy o prevode akcií v intenciách § 30 zákona č. 566/2001 Z. z. o cenných papieroch a investičných službách a o zmene a doplnení niektorých zákonov (zákon o cenných papieroch) v z. n. p. </w:t>
      </w:r>
      <w:r>
        <w:rPr>
          <w:rFonts w:ascii="Times New Roman" w:hAnsi="Times New Roman" w:cs="Times New Roman"/>
          <w:i/>
          <w:iCs/>
          <w:sz w:val="24"/>
          <w:szCs w:val="24"/>
        </w:rPr>
        <w:t xml:space="preserve">(ďalej aj „zákon o cenných papieroch“) </w:t>
      </w:r>
      <w:r>
        <w:rPr>
          <w:rFonts w:ascii="Times New Roman" w:hAnsi="Times New Roman" w:cs="Times New Roman"/>
          <w:sz w:val="24"/>
          <w:szCs w:val="24"/>
        </w:rPr>
        <w:t xml:space="preserve">v spojení s § 409 a nasl. zákona č. 513/1991 Zb. Obchodný zákonník v z. n. p. </w:t>
      </w:r>
      <w:r>
        <w:rPr>
          <w:rFonts w:ascii="Times New Roman" w:hAnsi="Times New Roman" w:cs="Times New Roman"/>
          <w:i/>
          <w:iCs/>
          <w:sz w:val="24"/>
          <w:szCs w:val="24"/>
        </w:rPr>
        <w:t>(ďalej aj „Obchodný zákonník“)</w:t>
      </w:r>
      <w:r>
        <w:rPr>
          <w:rFonts w:ascii="Times New Roman" w:hAnsi="Times New Roman" w:cs="Times New Roman"/>
          <w:sz w:val="24"/>
          <w:szCs w:val="24"/>
        </w:rPr>
        <w:t xml:space="preserve">. Obec stanovuje minimálnu sumu kúpnej ceny za prevod jedného kusu jednotlivo určenej akcie vo VVS, a. s. v celkovej výške 13,27,- € </w:t>
      </w:r>
      <w:r>
        <w:rPr>
          <w:rFonts w:ascii="Times New Roman" w:hAnsi="Times New Roman" w:cs="Times New Roman"/>
          <w:i/>
          <w:iCs/>
          <w:sz w:val="24"/>
          <w:szCs w:val="24"/>
        </w:rPr>
        <w:t>(slovom trinásť eur dvadsaťsedem centov)</w:t>
      </w:r>
      <w:r>
        <w:rPr>
          <w:rFonts w:ascii="Times New Roman" w:hAnsi="Times New Roman" w:cs="Times New Roman"/>
          <w:sz w:val="24"/>
          <w:szCs w:val="24"/>
        </w:rPr>
        <w:t xml:space="preserve">. Prevod hromadnej akcie série B v prospech kupujúceho na hmotnoprávnom základe zmluvy o prevode akcií bude uskutočnený na procesnom základe postupu spôsobom (formou) obchodnej verejnej súťaže. </w:t>
      </w:r>
    </w:p>
    <w:p w14:paraId="49B354E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4D5DF8D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7FCDC32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13C41B04">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4</w:t>
            </w:r>
          </w:p>
          <w:p w14:paraId="654D2152">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5B0441D2">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 Fučková, Horóckyová Valéria , PhDr.,MPH , J. Kováč, , P. Zelenáková</w:t>
            </w:r>
          </w:p>
        </w:tc>
      </w:tr>
      <w:tr w14:paraId="7F882D9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292145D9">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7C817091">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1</w:t>
            </w:r>
          </w:p>
        </w:tc>
        <w:tc>
          <w:tcPr>
            <w:tcW w:w="3250" w:type="pct"/>
            <w:tcBorders>
              <w:top w:val="outset" w:color="000000" w:sz="6" w:space="0"/>
              <w:left w:val="outset" w:color="000000" w:sz="6" w:space="0"/>
              <w:bottom w:val="outset" w:color="000000" w:sz="6" w:space="0"/>
              <w:right w:val="outset" w:color="000000" w:sz="6" w:space="0"/>
            </w:tcBorders>
          </w:tcPr>
          <w:p w14:paraId="0CC8699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Š. Zselenák</w:t>
            </w:r>
          </w:p>
        </w:tc>
      </w:tr>
      <w:tr w14:paraId="5887B1E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264A8C6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14F8C68D">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26E5CA1E">
            <w:pPr>
              <w:spacing w:before="100" w:beforeAutospacing="1" w:after="0" w:line="240" w:lineRule="auto"/>
              <w:rPr>
                <w:rFonts w:ascii="Times New Roman" w:hAnsi="Times New Roman" w:eastAsia="Times New Roman" w:cs="Times New Roman"/>
                <w:sz w:val="24"/>
                <w:szCs w:val="24"/>
                <w:lang w:eastAsia="sk-SK"/>
              </w:rPr>
            </w:pPr>
          </w:p>
        </w:tc>
      </w:tr>
      <w:tr w14:paraId="6342887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rHeight w:val="127" w:hRule="atLeast"/>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68C0859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3CD1E52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2</w:t>
            </w:r>
          </w:p>
        </w:tc>
        <w:tc>
          <w:tcPr>
            <w:tcW w:w="3250" w:type="pct"/>
            <w:tcBorders>
              <w:top w:val="outset" w:color="000000" w:sz="6" w:space="0"/>
              <w:left w:val="outset" w:color="000000" w:sz="6" w:space="0"/>
              <w:bottom w:val="outset" w:color="000000" w:sz="6" w:space="0"/>
              <w:right w:val="outset" w:color="000000" w:sz="6" w:space="0"/>
            </w:tcBorders>
          </w:tcPr>
          <w:p w14:paraId="5B51915D">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0A79CB0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7D6E4279">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i/>
          <w:iCs/>
          <w:sz w:val="24"/>
          <w:szCs w:val="24"/>
          <w:lang w:eastAsia="sk-SK"/>
        </w:rPr>
        <w:t>V Svätej Márii, dňa: ….....................................</w:t>
      </w:r>
    </w:p>
    <w:p w14:paraId="3A9CC455">
      <w:pPr>
        <w:spacing w:before="100" w:beforeAutospacing="1" w:after="0" w:line="240" w:lineRule="auto"/>
        <w:rPr>
          <w:rFonts w:ascii="Times New Roman" w:hAnsi="Times New Roman" w:eastAsia="Times New Roman" w:cs="Times New Roman"/>
          <w:b/>
          <w:bCs/>
          <w:i/>
          <w:iCs/>
          <w:sz w:val="26"/>
          <w:szCs w:val="26"/>
          <w:lang w:eastAsia="sk-SK"/>
        </w:rPr>
      </w:pPr>
      <w:r>
        <w:rPr>
          <w:rFonts w:ascii="Times New Roman" w:hAnsi="Times New Roman" w:eastAsia="Times New Roman" w:cs="Times New Roman"/>
          <w:b/>
          <w:bCs/>
          <w:i/>
          <w:iCs/>
          <w:sz w:val="26"/>
          <w:szCs w:val="26"/>
          <w:lang w:eastAsia="sk-SK"/>
        </w:rPr>
        <w:t>Uznesenie č. 14/2025/d</w:t>
      </w:r>
    </w:p>
    <w:p w14:paraId="6909DB6D">
      <w:pPr>
        <w:spacing w:before="100" w:beforeAutospacing="1" w:after="0" w:line="240" w:lineRule="auto"/>
        <w:rPr>
          <w:rFonts w:ascii="Times New Roman" w:hAnsi="Times New Roman" w:eastAsia="Times New Roman" w:cs="Times New Roman"/>
          <w:b/>
          <w:bCs/>
          <w:i/>
          <w:iCs/>
          <w:sz w:val="26"/>
          <w:szCs w:val="26"/>
          <w:lang w:eastAsia="sk-SK"/>
        </w:rPr>
      </w:pPr>
    </w:p>
    <w:p w14:paraId="11853827">
      <w:pPr>
        <w:tabs>
          <w:tab w:val="left" w:pos="0"/>
          <w:tab w:val="left" w:pos="851"/>
        </w:tabs>
        <w:spacing w:after="0" w:line="240" w:lineRule="auto"/>
        <w:jc w:val="both"/>
        <w:rPr>
          <w:rFonts w:ascii="Times New Roman" w:hAnsi="Times New Roman" w:cs="Times New Roman"/>
          <w:i/>
          <w:sz w:val="24"/>
          <w:szCs w:val="24"/>
        </w:rPr>
      </w:pPr>
      <w:r>
        <w:rPr>
          <w:rFonts w:ascii="Times New Roman" w:hAnsi="Times New Roman" w:cs="Times New Roman"/>
          <w:b/>
          <w:i/>
          <w:sz w:val="24"/>
          <w:szCs w:val="24"/>
        </w:rPr>
        <w:t>Obecné zastupiteľstvo obce Svätá Mária</w:t>
      </w:r>
    </w:p>
    <w:p w14:paraId="3EC7DACD">
      <w:pPr>
        <w:spacing w:after="0" w:line="240" w:lineRule="auto"/>
        <w:rPr>
          <w:rFonts w:ascii="Times New Roman" w:hAnsi="Times New Roman" w:cs="Times New Roman"/>
          <w:i/>
          <w:sz w:val="24"/>
          <w:szCs w:val="24"/>
        </w:rPr>
      </w:pPr>
    </w:p>
    <w:p w14:paraId="1421D1E0">
      <w:pPr>
        <w:spacing w:after="0" w:line="240" w:lineRule="auto"/>
        <w:jc w:val="both"/>
        <w:rPr>
          <w:rFonts w:ascii="Times New Roman" w:hAnsi="Times New Roman" w:cs="Times New Roman"/>
          <w:b/>
          <w:bCs/>
          <w:iCs/>
          <w:sz w:val="24"/>
          <w:szCs w:val="24"/>
        </w:rPr>
      </w:pPr>
      <w:r>
        <w:rPr>
          <w:rFonts w:ascii="Times New Roman" w:hAnsi="Times New Roman" w:cs="Times New Roman"/>
          <w:b/>
          <w:bCs/>
          <w:iCs/>
          <w:sz w:val="24"/>
          <w:szCs w:val="24"/>
        </w:rPr>
        <w:t xml:space="preserve">schvaľuje </w:t>
      </w:r>
    </w:p>
    <w:p w14:paraId="707D4B53">
      <w:pPr>
        <w:pStyle w:val="23"/>
        <w:tabs>
          <w:tab w:val="left" w:pos="284"/>
        </w:tabs>
        <w:spacing w:after="0" w:line="240" w:lineRule="auto"/>
        <w:ind w:left="0"/>
        <w:jc w:val="both"/>
        <w:rPr>
          <w:rFonts w:ascii="Times New Roman" w:hAnsi="Times New Roman" w:cs="Times New Roman"/>
          <w:sz w:val="24"/>
          <w:szCs w:val="24"/>
        </w:rPr>
      </w:pPr>
    </w:p>
    <w:p w14:paraId="11BF9DE6">
      <w:pPr>
        <w:tabs>
          <w:tab w:val="left" w:pos="284"/>
        </w:tabs>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podľa § 9 ods. 2 písm. b) v spojení s § 9a ods. 1 písm. a) zákona SNR č. 138/1991 Zb. o majetku obcí v z. n. p. (ďalej len „zákon o majetku obcí“) </w:t>
      </w:r>
    </w:p>
    <w:p w14:paraId="7F1945DC">
      <w:pPr>
        <w:tabs>
          <w:tab w:val="left" w:pos="284"/>
        </w:tabs>
        <w:spacing w:after="0" w:line="240" w:lineRule="auto"/>
        <w:jc w:val="both"/>
        <w:rPr>
          <w:rFonts w:ascii="Times New Roman" w:hAnsi="Times New Roman" w:cs="Times New Roman"/>
          <w:b/>
          <w:bCs/>
          <w:sz w:val="24"/>
          <w:szCs w:val="24"/>
        </w:rPr>
      </w:pPr>
    </w:p>
    <w:p w14:paraId="079A09CD">
      <w:pPr>
        <w:spacing w:after="0" w:line="240" w:lineRule="auto"/>
        <w:jc w:val="both"/>
        <w:rPr>
          <w:rFonts w:ascii="Times New Roman" w:hAnsi="Times New Roman" w:cs="Times New Roman"/>
          <w:sz w:val="24"/>
          <w:szCs w:val="24"/>
        </w:rPr>
      </w:pPr>
      <w:r>
        <w:rPr>
          <w:rFonts w:ascii="Times New Roman" w:hAnsi="Times New Roman" w:cs="Times New Roman"/>
          <w:b/>
          <w:bCs/>
          <w:iCs/>
          <w:sz w:val="24"/>
          <w:szCs w:val="24"/>
        </w:rPr>
        <w:t xml:space="preserve">podmienky obchodnej verejnej súťaže na prevod hromadnej akcie série B </w:t>
      </w:r>
      <w:r>
        <w:rPr>
          <w:rFonts w:ascii="Times New Roman" w:hAnsi="Times New Roman" w:cs="Times New Roman"/>
          <w:b/>
          <w:bCs/>
          <w:sz w:val="24"/>
          <w:szCs w:val="24"/>
        </w:rPr>
        <w:t>obce Svätá Mária</w:t>
      </w:r>
      <w:r>
        <w:rPr>
          <w:rFonts w:ascii="Times New Roman" w:hAnsi="Times New Roman" w:cs="Times New Roman"/>
          <w:b/>
          <w:bCs/>
          <w:i/>
          <w:iCs/>
          <w:sz w:val="24"/>
          <w:szCs w:val="24"/>
        </w:rPr>
        <w:t xml:space="preserve"> (ďalej len „obec“)</w:t>
      </w:r>
      <w:r>
        <w:rPr>
          <w:rFonts w:ascii="Times New Roman" w:hAnsi="Times New Roman" w:cs="Times New Roman"/>
          <w:b/>
          <w:bCs/>
          <w:sz w:val="24"/>
          <w:szCs w:val="24"/>
        </w:rPr>
        <w:t xml:space="preserve"> v obchodnej spoločnosti Východoslovenská vodárenská spoločnosť, a. s. </w:t>
      </w:r>
    </w:p>
    <w:p w14:paraId="3B76C122">
      <w:pPr>
        <w:tabs>
          <w:tab w:val="left" w:pos="567"/>
        </w:tabs>
        <w:spacing w:after="0" w:line="240" w:lineRule="auto"/>
        <w:rPr>
          <w:rFonts w:ascii="Times New Roman" w:hAnsi="Times New Roman" w:cs="Times New Roman"/>
          <w:iCs/>
          <w:sz w:val="24"/>
          <w:szCs w:val="24"/>
        </w:rPr>
      </w:pPr>
    </w:p>
    <w:p w14:paraId="55DC1004">
      <w:pPr>
        <w:shd w:val="clear" w:color="auto" w:fill="FFFFFF"/>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Obec má zámer previesť vlastnícke právo k jednotlivo určeným akciám, nahradených hromadnou akciou série B, ktorých menovitá hodnota tvorí základné imanie v obchodnej spoločnosti Východoslovenská vodárenská spoločnosť, a. s., IČO: 36 570 460, so sídlom Komenského 50, 042 48 Košice, zapísanej v Obchodnom registri Mestského súdu Košice, Oddiel: Sa, Vložka číslo: 1243/V </w:t>
      </w:r>
      <w:r>
        <w:rPr>
          <w:rFonts w:ascii="Times New Roman" w:hAnsi="Times New Roman" w:cs="Times New Roman"/>
          <w:i/>
          <w:iCs/>
          <w:sz w:val="24"/>
          <w:szCs w:val="24"/>
        </w:rPr>
        <w:t>(ďalej aj „VVS, a. s.“, „ akciová spoločnosť“ alebo „spoločnosť“)</w:t>
      </w:r>
      <w:r>
        <w:rPr>
          <w:rFonts w:ascii="Times New Roman" w:hAnsi="Times New Roman" w:cs="Times New Roman"/>
          <w:sz w:val="24"/>
          <w:szCs w:val="24"/>
        </w:rPr>
        <w:t>, s nasledovnými údajmi:</w:t>
      </w:r>
    </w:p>
    <w:p w14:paraId="765F3B0C">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Počet prevádzaných akcií: </w:t>
      </w:r>
      <w:r>
        <w:rPr>
          <w:rFonts w:ascii="Times New Roman" w:hAnsi="Times New Roman" w:cs="Times New Roman"/>
          <w:b/>
          <w:bCs/>
          <w:sz w:val="24"/>
          <w:szCs w:val="24"/>
        </w:rPr>
        <w:t>akcie 3673 kusov</w:t>
      </w:r>
      <w:r>
        <w:rPr>
          <w:rFonts w:ascii="Times New Roman" w:hAnsi="Times New Roman" w:cs="Times New Roman"/>
          <w:sz w:val="24"/>
          <w:szCs w:val="24"/>
        </w:rPr>
        <w:t xml:space="preserve">, ktoré </w:t>
      </w:r>
      <w:r>
        <w:rPr>
          <w:rFonts w:ascii="Times New Roman" w:hAnsi="Times New Roman" w:cs="Times New Roman"/>
          <w:b/>
          <w:bCs/>
          <w:sz w:val="24"/>
          <w:szCs w:val="24"/>
        </w:rPr>
        <w:t>nahrádza jeden kus hromadnej akcie série B.</w:t>
      </w:r>
    </w:p>
    <w:p w14:paraId="3E693425">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b/>
          <w:bCs/>
          <w:sz w:val="24"/>
          <w:szCs w:val="24"/>
        </w:rPr>
        <w:t> </w:t>
      </w:r>
      <w:r>
        <w:rPr>
          <w:rFonts w:ascii="Times New Roman" w:hAnsi="Times New Roman" w:cs="Times New Roman"/>
          <w:sz w:val="24"/>
          <w:szCs w:val="24"/>
        </w:rPr>
        <w:t xml:space="preserve">Menovitá hodnota jedného kusu jednotlivo určenej akcie: </w:t>
      </w:r>
      <w:r>
        <w:rPr>
          <w:rFonts w:ascii="Times New Roman" w:hAnsi="Times New Roman" w:cs="Times New Roman"/>
          <w:b/>
          <w:bCs/>
          <w:sz w:val="24"/>
          <w:szCs w:val="24"/>
        </w:rPr>
        <w:t xml:space="preserve">33,- € </w:t>
      </w:r>
      <w:r>
        <w:rPr>
          <w:rFonts w:ascii="Times New Roman" w:hAnsi="Times New Roman" w:cs="Times New Roman"/>
          <w:b/>
          <w:bCs/>
          <w:i/>
          <w:iCs/>
          <w:sz w:val="24"/>
          <w:szCs w:val="24"/>
        </w:rPr>
        <w:t>(slovom tridsaťtri eur)</w:t>
      </w:r>
      <w:r>
        <w:rPr>
          <w:rFonts w:ascii="Times New Roman" w:hAnsi="Times New Roman" w:cs="Times New Roman"/>
          <w:sz w:val="24"/>
          <w:szCs w:val="24"/>
        </w:rPr>
        <w:t>.</w:t>
      </w:r>
    </w:p>
    <w:p w14:paraId="650241C9">
      <w:pPr>
        <w:pStyle w:val="23"/>
        <w:tabs>
          <w:tab w:val="left" w:pos="284"/>
        </w:tabs>
        <w:spacing w:after="0" w:line="240" w:lineRule="auto"/>
        <w:ind w:left="567"/>
        <w:contextualSpacing w:val="0"/>
        <w:jc w:val="both"/>
        <w:rPr>
          <w:rFonts w:ascii="Times New Roman" w:hAnsi="Times New Roman" w:cs="Times New Roman"/>
          <w:sz w:val="24"/>
          <w:szCs w:val="24"/>
        </w:rPr>
      </w:pPr>
      <w:r>
        <w:rPr>
          <w:rFonts w:ascii="Times New Roman" w:hAnsi="Times New Roman" w:cs="Times New Roman"/>
          <w:sz w:val="24"/>
          <w:szCs w:val="24"/>
        </w:rPr>
        <w:t>Súhrnná menovitá hodnota prevádzanej hromadnej akcie série B je tvorená súčtom menovitých hodnôt jednotlivo určených akcií toho istého druhu, ktoré hromadná akcia série B nahrádza.</w:t>
      </w:r>
    </w:p>
    <w:p w14:paraId="22A2ADC3">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Podoba akcií, ktoré hromadná akcia série B nahrádza: </w:t>
      </w:r>
      <w:r>
        <w:rPr>
          <w:rFonts w:ascii="Times New Roman" w:hAnsi="Times New Roman" w:cs="Times New Roman"/>
          <w:b/>
          <w:bCs/>
          <w:sz w:val="24"/>
          <w:szCs w:val="24"/>
        </w:rPr>
        <w:t>listinné</w:t>
      </w:r>
      <w:r>
        <w:rPr>
          <w:rFonts w:ascii="Times New Roman" w:hAnsi="Times New Roman" w:cs="Times New Roman"/>
          <w:sz w:val="24"/>
          <w:szCs w:val="24"/>
        </w:rPr>
        <w:t>.</w:t>
      </w:r>
    </w:p>
    <w:p w14:paraId="55F0E156">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Forma akcií, ktoré hromadná akcia série B nahrádza: </w:t>
      </w:r>
      <w:r>
        <w:rPr>
          <w:rFonts w:ascii="Times New Roman" w:hAnsi="Times New Roman" w:cs="Times New Roman"/>
          <w:b/>
          <w:bCs/>
          <w:sz w:val="24"/>
          <w:szCs w:val="24"/>
        </w:rPr>
        <w:t>na meno</w:t>
      </w:r>
      <w:r>
        <w:rPr>
          <w:rFonts w:ascii="Times New Roman" w:hAnsi="Times New Roman" w:cs="Times New Roman"/>
          <w:sz w:val="24"/>
          <w:szCs w:val="24"/>
        </w:rPr>
        <w:t>.</w:t>
      </w:r>
    </w:p>
    <w:p w14:paraId="150195BC">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Druh akcií, ktoré hromadná akcia série B nahrádza: </w:t>
      </w:r>
      <w:r>
        <w:rPr>
          <w:rFonts w:ascii="Times New Roman" w:hAnsi="Times New Roman" w:cs="Times New Roman"/>
          <w:b/>
          <w:bCs/>
          <w:sz w:val="24"/>
          <w:szCs w:val="24"/>
        </w:rPr>
        <w:t>kmeňové s obmedzenou prevoditeľnosťou</w:t>
      </w:r>
      <w:r>
        <w:rPr>
          <w:rFonts w:ascii="Times New Roman" w:hAnsi="Times New Roman" w:cs="Times New Roman"/>
          <w:sz w:val="24"/>
          <w:szCs w:val="24"/>
        </w:rPr>
        <w:t>.</w:t>
      </w:r>
      <w:r>
        <w:rPr>
          <w:rFonts w:ascii="Times New Roman" w:hAnsi="Times New Roman" w:cs="Times New Roman"/>
          <w:b/>
          <w:bCs/>
          <w:sz w:val="24"/>
          <w:szCs w:val="24"/>
        </w:rPr>
        <w:t> </w:t>
      </w:r>
    </w:p>
    <w:p w14:paraId="78D9F994">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ISIN akcií: </w:t>
      </w:r>
      <w:r>
        <w:rPr>
          <w:rFonts w:ascii="Times New Roman" w:hAnsi="Times New Roman" w:cs="Times New Roman"/>
          <w:b/>
          <w:bCs/>
          <w:sz w:val="24"/>
          <w:szCs w:val="24"/>
        </w:rPr>
        <w:t>nebol pridelený</w:t>
      </w:r>
      <w:r>
        <w:rPr>
          <w:rFonts w:ascii="Times New Roman" w:hAnsi="Times New Roman" w:cs="Times New Roman"/>
          <w:sz w:val="24"/>
          <w:szCs w:val="24"/>
        </w:rPr>
        <w:t>.</w:t>
      </w:r>
    </w:p>
    <w:p w14:paraId="5D488A04">
      <w:pPr>
        <w:pStyle w:val="23"/>
        <w:tabs>
          <w:tab w:val="left" w:pos="284"/>
        </w:tabs>
        <w:spacing w:after="0" w:line="240" w:lineRule="auto"/>
        <w:ind w:left="567"/>
        <w:jc w:val="right"/>
        <w:rPr>
          <w:rFonts w:ascii="Times New Roman" w:hAnsi="Times New Roman" w:cs="Times New Roman"/>
          <w:sz w:val="24"/>
          <w:szCs w:val="24"/>
        </w:rPr>
      </w:pPr>
      <w:r>
        <w:rPr>
          <w:rFonts w:ascii="Times New Roman" w:hAnsi="Times New Roman" w:cs="Times New Roman"/>
          <w:i/>
          <w:iCs/>
          <w:sz w:val="24"/>
          <w:szCs w:val="24"/>
        </w:rPr>
        <w:t>(ďalej aj „hromadná akcia série B“ alebo „predmet zamýšľaného prevodu“)</w:t>
      </w:r>
      <w:r>
        <w:rPr>
          <w:rFonts w:ascii="Times New Roman" w:hAnsi="Times New Roman" w:cs="Times New Roman"/>
          <w:sz w:val="24"/>
          <w:szCs w:val="24"/>
        </w:rPr>
        <w:t>.</w:t>
      </w:r>
    </w:p>
    <w:p w14:paraId="42E3A0D5">
      <w:pPr>
        <w:tabs>
          <w:tab w:val="left" w:pos="567"/>
        </w:tabs>
        <w:spacing w:after="0" w:line="240" w:lineRule="auto"/>
        <w:ind w:firstLine="284"/>
        <w:jc w:val="both"/>
        <w:rPr>
          <w:rFonts w:ascii="Times New Roman" w:hAnsi="Times New Roman" w:cs="Times New Roman"/>
          <w:iCs/>
          <w:sz w:val="24"/>
          <w:szCs w:val="24"/>
        </w:rPr>
      </w:pPr>
      <w:r>
        <w:rPr>
          <w:rFonts w:ascii="Times New Roman" w:hAnsi="Times New Roman" w:cs="Times New Roman"/>
          <w:sz w:val="24"/>
          <w:szCs w:val="24"/>
        </w:rPr>
        <w:t>Prevod hromadnej akcie série B v prospech kupujúceho na hmotnoprávnom základe zmluvy o prevode akcií bude uskutočnený na procesnom základe postupu spôsobom (formou) obchodnej verejnej súťaže.</w:t>
      </w:r>
      <w:r>
        <w:rPr>
          <w:rFonts w:ascii="Times New Roman" w:hAnsi="Times New Roman" w:cs="Times New Roman"/>
          <w:iCs/>
          <w:sz w:val="24"/>
          <w:szCs w:val="24"/>
        </w:rPr>
        <w:t xml:space="preserve"> Podmienky obchodnej verejnej súťaže predstavujú procesné náležitosti pri výbere najvhodnejšieho súťažného návrhu na uzavretie zmluvy o prevode hromadnej akcie série B. Podmienky obchodnej verejnej súťaže zároveň konzumujú predmet požadovaného záväzku a zásady zamýšľaného obsahu návrhu zmluvy, na ktorých obec trvá. Návrh zmluvy o prevode akcií nie je súčasťou podmienok obchodnej verejnej súťaže. Vybraný súťažný návrh zmluvy o prevode akcií musí bez výhrad a akýchkoľvek odklonov obsahovať predmet požadovaného záväzku a zásady ostatného obsahu zamýšľanej zmluvy vo význame priznanom tomuto pojmu v Oddieli I. podmienok obchodnej verejnej súťaže. </w:t>
      </w:r>
      <w:r>
        <w:rPr>
          <w:rFonts w:ascii="Times New Roman" w:hAnsi="Times New Roman" w:cs="Times New Roman"/>
          <w:sz w:val="24"/>
          <w:szCs w:val="24"/>
        </w:rPr>
        <w:t xml:space="preserve">Účelom obchodnej verejnej súťaže je prijatie najvhodnejšieho návrhu na uzatvorenie zmluvy o prevode akcií, respektíve návrhu, ktorý obci najlepšie vyhovuje podľa Oddielu H. bod 4 podmienok súťaže, po kumulatívnom splnení všetkých podmienok súťaže.  </w:t>
      </w:r>
    </w:p>
    <w:p w14:paraId="319DDC01">
      <w:pPr>
        <w:tabs>
          <w:tab w:val="left" w:pos="567"/>
        </w:tabs>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Predmetom záväzku vybraného účastníka súťaže je povinnosť uhradiť ním navrhovanú kúpnu cenu za hromadnú akciu série B nahrádzajúcu jednotlivo určené akcie v majetku obce a hromadnú akciu prevziať. Synalagmatickým záväzkom obce je hromadnú akciu série B odovzdať a previesť vlastnícke právo k nej. Obec po výbere najvhodnejšej ponuky (alebo ponuky, ktorá mu najlepšie vyhovuje) zabezpečí modifikáciu pôvodnej hromadnej akcie, tvoriacej celý jeho obchodný podiel, na novú hromadnú akciu série B nahrádzajúcu jednotlivo určené akcie, ktoré majú byť predmetom prevodu a novú jednotlivo určenú akciu, ktorú si ponechá vo svojom vlastníctve.</w:t>
      </w:r>
    </w:p>
    <w:p w14:paraId="100DD6ED">
      <w:pPr>
        <w:pStyle w:val="23"/>
        <w:tabs>
          <w:tab w:val="left" w:pos="0"/>
          <w:tab w:val="left" w:pos="284"/>
        </w:tabs>
        <w:spacing w:after="0" w:line="240" w:lineRule="auto"/>
        <w:ind w:left="0" w:firstLine="284"/>
        <w:contextualSpacing w:val="0"/>
        <w:jc w:val="both"/>
        <w:rPr>
          <w:rFonts w:ascii="Times New Roman" w:hAnsi="Times New Roman" w:cs="Times New Roman"/>
          <w:b/>
          <w:bCs/>
          <w:sz w:val="24"/>
          <w:szCs w:val="24"/>
        </w:rPr>
      </w:pPr>
      <w:r>
        <w:rPr>
          <w:rFonts w:ascii="Times New Roman" w:hAnsi="Times New Roman" w:cs="Times New Roman"/>
          <w:sz w:val="24"/>
          <w:szCs w:val="24"/>
        </w:rPr>
        <w:t xml:space="preserve">Zámerom obce je ponechať si vo svojom výlučnom vlastníctve aspoň 1 </w:t>
      </w:r>
      <w:r>
        <w:rPr>
          <w:rFonts w:ascii="Times New Roman" w:hAnsi="Times New Roman" w:cs="Times New Roman"/>
          <w:i/>
          <w:iCs/>
          <w:sz w:val="24"/>
          <w:szCs w:val="24"/>
        </w:rPr>
        <w:t>(slovom jednu)</w:t>
      </w:r>
      <w:r>
        <w:rPr>
          <w:rFonts w:ascii="Times New Roman" w:hAnsi="Times New Roman" w:cs="Times New Roman"/>
          <w:sz w:val="24"/>
          <w:szCs w:val="24"/>
        </w:rPr>
        <w:t xml:space="preserve"> jednotlivo určenú akciu na základnom imaní VVS, a. s. Obec stanovuje minimálnu sumu kúpnej ceny za prevod jedného kusu jednotlivo určenej akcie vo VVS, a. s. v celkovej výške 13,27,- € </w:t>
      </w:r>
      <w:r>
        <w:rPr>
          <w:rFonts w:ascii="Times New Roman" w:hAnsi="Times New Roman" w:cs="Times New Roman"/>
          <w:i/>
          <w:iCs/>
          <w:sz w:val="24"/>
          <w:szCs w:val="24"/>
        </w:rPr>
        <w:t>(slovom trinásť eur dvadsaťsedem centov)</w:t>
      </w:r>
      <w:r>
        <w:rPr>
          <w:rFonts w:ascii="Times New Roman" w:hAnsi="Times New Roman" w:cs="Times New Roman"/>
          <w:sz w:val="24"/>
          <w:szCs w:val="24"/>
        </w:rPr>
        <w:t xml:space="preserve">. </w:t>
      </w:r>
    </w:p>
    <w:p w14:paraId="7DFAFD4A">
      <w:pPr>
        <w:pStyle w:val="23"/>
        <w:tabs>
          <w:tab w:val="left" w:pos="0"/>
          <w:tab w:val="left" w:pos="284"/>
        </w:tabs>
        <w:spacing w:after="0" w:line="240" w:lineRule="auto"/>
        <w:ind w:left="0" w:firstLine="284"/>
        <w:jc w:val="both"/>
        <w:rPr>
          <w:rFonts w:ascii="Times New Roman" w:hAnsi="Times New Roman" w:cs="Times New Roman"/>
          <w:sz w:val="24"/>
          <w:szCs w:val="24"/>
        </w:rPr>
      </w:pPr>
      <w:r>
        <w:rPr>
          <w:rFonts w:ascii="Times New Roman" w:hAnsi="Times New Roman" w:cs="Times New Roman"/>
          <w:sz w:val="24"/>
          <w:szCs w:val="24"/>
        </w:rPr>
        <w:t xml:space="preserve">Obligatórnou náležitosťou zmluvy o prevode akcií je aj oprávnenie vybraného účastníka súťaže požadovať predaj, ergo kúpu zo strany obce, všetkých prevádzaných akcií, s minimálnou kúpnou cenou 13,27,- € </w:t>
      </w:r>
      <w:r>
        <w:rPr>
          <w:rFonts w:ascii="Times New Roman" w:hAnsi="Times New Roman" w:cs="Times New Roman"/>
          <w:i/>
          <w:iCs/>
          <w:sz w:val="24"/>
          <w:szCs w:val="24"/>
        </w:rPr>
        <w:t xml:space="preserve">(slovom trinásť eur dvadsaťsedem centov) </w:t>
      </w:r>
      <w:r>
        <w:rPr>
          <w:rFonts w:ascii="Times New Roman" w:hAnsi="Times New Roman" w:cs="Times New Roman"/>
          <w:sz w:val="24"/>
          <w:szCs w:val="24"/>
        </w:rPr>
        <w:t>za</w:t>
      </w:r>
      <w:r>
        <w:rPr>
          <w:rFonts w:ascii="Times New Roman" w:hAnsi="Times New Roman" w:cs="Times New Roman"/>
          <w:i/>
          <w:iCs/>
          <w:sz w:val="24"/>
          <w:szCs w:val="24"/>
        </w:rPr>
        <w:t xml:space="preserve"> </w:t>
      </w:r>
      <w:r>
        <w:rPr>
          <w:rFonts w:ascii="Times New Roman" w:hAnsi="Times New Roman" w:cs="Times New Roman"/>
          <w:sz w:val="24"/>
          <w:szCs w:val="24"/>
        </w:rPr>
        <w:t xml:space="preserve">1 </w:t>
      </w:r>
      <w:r>
        <w:rPr>
          <w:rFonts w:ascii="Times New Roman" w:hAnsi="Times New Roman" w:cs="Times New Roman"/>
          <w:i/>
          <w:iCs/>
          <w:sz w:val="24"/>
          <w:szCs w:val="24"/>
        </w:rPr>
        <w:t>(slovom jednu)</w:t>
      </w:r>
      <w:r>
        <w:rPr>
          <w:rFonts w:ascii="Times New Roman" w:hAnsi="Times New Roman" w:cs="Times New Roman"/>
          <w:sz w:val="24"/>
          <w:szCs w:val="24"/>
        </w:rPr>
        <w:t xml:space="preserve"> jednotlivo určenú akciu, nezaťažených akýmikoľvek právami tretích osôb, k dátumu oznámenia o realizácii Put opcie v prospech obce </w:t>
      </w:r>
      <w:r>
        <w:rPr>
          <w:rFonts w:ascii="Times New Roman" w:hAnsi="Times New Roman" w:cs="Times New Roman"/>
          <w:i/>
          <w:iCs/>
          <w:sz w:val="24"/>
          <w:szCs w:val="24"/>
        </w:rPr>
        <w:t>(ďalej aj „Put opcia“)</w:t>
      </w:r>
      <w:r>
        <w:rPr>
          <w:rFonts w:ascii="Times New Roman" w:hAnsi="Times New Roman" w:cs="Times New Roman"/>
          <w:sz w:val="24"/>
          <w:szCs w:val="24"/>
        </w:rPr>
        <w:t>. Z Put opcie vyplýva obci povinnosť akcie kúpiť, prevziať a zaplatiť kúpnu cenu podľa predchádzajúcej vety. Celková kúpna cena bude určená ako násobok kúpnej ceny za 1</w:t>
      </w:r>
      <w:r>
        <w:rPr>
          <w:rFonts w:ascii="Times New Roman" w:hAnsi="Times New Roman" w:cs="Times New Roman"/>
          <w:i/>
          <w:iCs/>
          <w:sz w:val="24"/>
          <w:szCs w:val="24"/>
        </w:rPr>
        <w:t xml:space="preserve"> (slovom jednu)</w:t>
      </w:r>
      <w:r>
        <w:rPr>
          <w:rFonts w:ascii="Times New Roman" w:hAnsi="Times New Roman" w:cs="Times New Roman"/>
          <w:sz w:val="24"/>
          <w:szCs w:val="24"/>
        </w:rPr>
        <w:t xml:space="preserve"> jednotlivo určenú akciu a celkového počtu jednotlivo prevádzaných akcií, a to bez ohľadu na to, či sa ako výsledok súťaže prevádza hromadná akcia, ktorá ich nahrádza, alebo jednotlivé akcie, pričom táto kúpna cena sa rovná súhrnnej kúpnej cene podľa písm. c) bodu 8 Oddielu B podmienok obchodnej verejnej súťaže. </w:t>
      </w:r>
    </w:p>
    <w:p w14:paraId="20D3ECC1">
      <w:pPr>
        <w:pStyle w:val="23"/>
        <w:tabs>
          <w:tab w:val="left" w:pos="0"/>
          <w:tab w:val="left" w:pos="284"/>
        </w:tabs>
        <w:spacing w:after="0" w:line="240" w:lineRule="auto"/>
        <w:ind w:left="0" w:firstLine="284"/>
        <w:jc w:val="both"/>
        <w:rPr>
          <w:rFonts w:ascii="Times New Roman" w:hAnsi="Times New Roman" w:cs="Times New Roman"/>
          <w:sz w:val="24"/>
          <w:szCs w:val="24"/>
        </w:rPr>
      </w:pPr>
      <w:r>
        <w:rPr>
          <w:rFonts w:ascii="Times New Roman" w:hAnsi="Times New Roman" w:cs="Times New Roman"/>
          <w:sz w:val="24"/>
          <w:szCs w:val="24"/>
        </w:rPr>
        <w:t xml:space="preserve">Obligatórnou náležitosťou zmluvy o prevode akcií je aj oprávnenie obce požadovať predaj zo strany vybraného účastníka súťaže všetkých prevádzaných akcií, s minimálnou kúpnou cenou 13,27,- € </w:t>
      </w:r>
      <w:r>
        <w:rPr>
          <w:rFonts w:ascii="Times New Roman" w:hAnsi="Times New Roman" w:cs="Times New Roman"/>
          <w:i/>
          <w:iCs/>
          <w:sz w:val="24"/>
          <w:szCs w:val="24"/>
        </w:rPr>
        <w:t xml:space="preserve">(slovom trinásť eur dvadsaťsedem centov) </w:t>
      </w:r>
      <w:r>
        <w:rPr>
          <w:rFonts w:ascii="Times New Roman" w:hAnsi="Times New Roman" w:cs="Times New Roman"/>
          <w:sz w:val="24"/>
          <w:szCs w:val="24"/>
        </w:rPr>
        <w:t xml:space="preserve">za 1 </w:t>
      </w:r>
      <w:r>
        <w:rPr>
          <w:rFonts w:ascii="Times New Roman" w:hAnsi="Times New Roman" w:cs="Times New Roman"/>
          <w:i/>
          <w:iCs/>
          <w:sz w:val="24"/>
          <w:szCs w:val="24"/>
        </w:rPr>
        <w:t>(slovom jednu)</w:t>
      </w:r>
      <w:r>
        <w:rPr>
          <w:rFonts w:ascii="Times New Roman" w:hAnsi="Times New Roman" w:cs="Times New Roman"/>
          <w:sz w:val="24"/>
          <w:szCs w:val="24"/>
        </w:rPr>
        <w:t xml:space="preserve"> jednotlivo určenú akciu, nezaťažených akýmikoľvek právami tretích osôb k dátumu oznámenia o realizácii Call opcie v prospech obce </w:t>
      </w:r>
      <w:r>
        <w:rPr>
          <w:rFonts w:ascii="Times New Roman" w:hAnsi="Times New Roman" w:cs="Times New Roman"/>
          <w:i/>
          <w:iCs/>
          <w:sz w:val="24"/>
          <w:szCs w:val="24"/>
        </w:rPr>
        <w:t>(ďalej aj „Call opcia“)</w:t>
      </w:r>
      <w:r>
        <w:rPr>
          <w:rFonts w:ascii="Times New Roman" w:hAnsi="Times New Roman" w:cs="Times New Roman"/>
          <w:sz w:val="24"/>
          <w:szCs w:val="24"/>
        </w:rPr>
        <w:t xml:space="preserve">. Z Call opcie vyplýva vybranému účastníkovi súťaže povinnosť akcie odovzdať a previesť vlastnícke právo k nim na obec/mesto za kúpnu cenu podľa predchádzajúcej vety. Celková kúpna cena bude určená ako násobok kúpnej ceny za 1 </w:t>
      </w:r>
      <w:r>
        <w:rPr>
          <w:rFonts w:ascii="Times New Roman" w:hAnsi="Times New Roman" w:cs="Times New Roman"/>
          <w:i/>
          <w:iCs/>
          <w:sz w:val="24"/>
          <w:szCs w:val="24"/>
        </w:rPr>
        <w:t>(slovom jednu)</w:t>
      </w:r>
      <w:r>
        <w:rPr>
          <w:rFonts w:ascii="Times New Roman" w:hAnsi="Times New Roman" w:cs="Times New Roman"/>
          <w:sz w:val="24"/>
          <w:szCs w:val="24"/>
        </w:rPr>
        <w:t xml:space="preserve"> jednotlivo určenú akciu a celkového počtu jednotlivo prevádzaných akcií, a to bez ohľadu na to, či sa ako výsledok súťaže prevádza hromadná akcia, ktorá ich nahrádza, alebo jednotlivé akcie, pričom táto kúpna cena sa rovná súhrnnej kúpnej cene podľa písm. c) bodu 8 Oddielu B podmienok súťaže.</w:t>
      </w:r>
    </w:p>
    <w:p w14:paraId="7D2E7F1A">
      <w:pPr>
        <w:pStyle w:val="23"/>
        <w:tabs>
          <w:tab w:val="left" w:pos="0"/>
          <w:tab w:val="left" w:pos="284"/>
        </w:tabs>
        <w:spacing w:after="0" w:line="240" w:lineRule="auto"/>
        <w:ind w:left="0" w:firstLine="284"/>
        <w:jc w:val="both"/>
        <w:rPr>
          <w:rFonts w:ascii="Times New Roman" w:hAnsi="Times New Roman" w:cs="Times New Roman"/>
          <w:sz w:val="24"/>
          <w:szCs w:val="24"/>
        </w:rPr>
      </w:pPr>
      <w:r>
        <w:rPr>
          <w:rFonts w:ascii="Times New Roman" w:hAnsi="Times New Roman" w:cs="Times New Roman"/>
          <w:sz w:val="24"/>
          <w:szCs w:val="24"/>
        </w:rPr>
        <w:t xml:space="preserve">Vybraným účastníkom súťaže môže byť len subjekt verejného práva podľa § 3 ods. 3 zákona č. 442/2002 Z. z. o verejných vodovodoch a verejných kanalizáciách a o zmene a doplnení zákona č. 276/2001 Z. z. o regulácii v sieťových odvetviach v z. n. p. </w:t>
      </w:r>
      <w:r>
        <w:rPr>
          <w:rFonts w:ascii="Times New Roman" w:hAnsi="Times New Roman" w:cs="Times New Roman"/>
          <w:i/>
          <w:iCs/>
          <w:sz w:val="24"/>
          <w:szCs w:val="24"/>
        </w:rPr>
        <w:t xml:space="preserve">(ďalej len „zákon o verejných vodovodoch a verejných kanalizáciách“) </w:t>
      </w:r>
      <w:r>
        <w:rPr>
          <w:rFonts w:ascii="Times New Roman" w:hAnsi="Times New Roman" w:cs="Times New Roman"/>
          <w:sz w:val="24"/>
          <w:szCs w:val="24"/>
        </w:rPr>
        <w:t xml:space="preserve">alebo subjekt oprávnený v zmysle platnej právnej úpravy SR nadobúdať akcie vodárenských spoločností.  Vybraný účastník súťaže, ktorý je akcionárom VVS, a. s., okrem predloženia súťažného návrhu, oznámi svoj záujem o odkúpenie akcií (uplatnenie predkupného práva) obci a predstavenstvu VVS, a. s. Vybraný účastník súťaže podľa predchádzajúcej vety musí uplatniť predkupné právo vo vzťahu ku všetkým akciám, ktoré tvoria predmet zamýšľaného prevodu. Riadne a včasné uplatnenie predkupného práva vybraného účastníka súťaže, ktorý je akcionárom VVS, a. s., je odkladacou podmienkou účinnosti zmluvy o prevode akcií s týmto vybraným účastníkom súťaže </w:t>
      </w:r>
      <w:r>
        <w:rPr>
          <w:rFonts w:ascii="Times New Roman" w:hAnsi="Times New Roman" w:cs="Times New Roman"/>
          <w:i/>
          <w:iCs/>
          <w:sz w:val="24"/>
          <w:szCs w:val="24"/>
        </w:rPr>
        <w:t>(ďalej aj „odkladacia podmienka 1“)</w:t>
      </w:r>
      <w:r>
        <w:rPr>
          <w:rFonts w:ascii="Times New Roman" w:hAnsi="Times New Roman" w:cs="Times New Roman"/>
          <w:sz w:val="24"/>
          <w:szCs w:val="24"/>
        </w:rPr>
        <w:t xml:space="preserve">. Márnym uplynutím lehoty na uplatnenie predkupného práva nevzniknú práva a povinnosti založené zmluvou o prevode akcií medzi obcou a vybraným účastníkom súťaže, obec je oprávnená vyhlásiť novú súťaž s totožným predmetom. </w:t>
      </w:r>
    </w:p>
    <w:p w14:paraId="7BCF0439">
      <w:pPr>
        <w:pStyle w:val="23"/>
        <w:tabs>
          <w:tab w:val="left" w:pos="0"/>
          <w:tab w:val="left" w:pos="284"/>
        </w:tabs>
        <w:spacing w:after="0" w:line="240" w:lineRule="auto"/>
        <w:ind w:left="0" w:firstLine="284"/>
        <w:jc w:val="both"/>
        <w:rPr>
          <w:rFonts w:ascii="Times New Roman" w:hAnsi="Times New Roman" w:cs="Times New Roman"/>
          <w:sz w:val="24"/>
          <w:szCs w:val="24"/>
        </w:rPr>
      </w:pPr>
      <w:r>
        <w:rPr>
          <w:rFonts w:ascii="Times New Roman" w:hAnsi="Times New Roman" w:cs="Times New Roman"/>
          <w:sz w:val="24"/>
          <w:szCs w:val="24"/>
        </w:rPr>
        <w:t xml:space="preserve">Splnením odkladacej podmienky 1 nadobudne zmluva o prevode akcií s vybraným účastníkom súťaže, ktorý je akcionárom VVS, a. s., účinnosť, nie však skôr, ako VVS, a. s. rozhodne o žiadosti obce o udelení súhlasu s prevodom akcií </w:t>
      </w:r>
      <w:r>
        <w:rPr>
          <w:rFonts w:ascii="Times New Roman" w:hAnsi="Times New Roman" w:cs="Times New Roman"/>
          <w:i/>
          <w:iCs/>
          <w:sz w:val="24"/>
          <w:szCs w:val="24"/>
        </w:rPr>
        <w:t>(ďalej aj „žiadosť o udelenie súhlasu s prevodom“)</w:t>
      </w:r>
      <w:r>
        <w:rPr>
          <w:rFonts w:ascii="Times New Roman" w:hAnsi="Times New Roman" w:cs="Times New Roman"/>
          <w:sz w:val="24"/>
          <w:szCs w:val="24"/>
        </w:rPr>
        <w:t xml:space="preserve">, tak, že súhlas udelí a oznámi rozhodnutie obci. Nadobudnutie účinnosti zmluvy o prevode akcií s vybraným účastníkom súťaže, ktorý je akcionárom VVS, a. s., je podmienené kumulatívnym splnením odkladacej podmienky 1, udelením súhlasu VVS, a. s. s prevodom akcií a oznámením rozhodnutia obci/mestu </w:t>
      </w:r>
      <w:r>
        <w:rPr>
          <w:rFonts w:ascii="Times New Roman" w:hAnsi="Times New Roman" w:cs="Times New Roman"/>
          <w:i/>
          <w:iCs/>
          <w:sz w:val="24"/>
          <w:szCs w:val="24"/>
        </w:rPr>
        <w:t>(udelenie súhlasu VVS, a. s. s prevodom akcií a oznámenie rozhodnutia obci Svätá Mária ďalej spolu aj „odkladacia podmienka 2“)</w:t>
      </w:r>
      <w:r>
        <w:rPr>
          <w:rFonts w:ascii="Times New Roman" w:hAnsi="Times New Roman" w:cs="Times New Roman"/>
          <w:sz w:val="24"/>
          <w:szCs w:val="24"/>
        </w:rPr>
        <w:t xml:space="preserve">.Uvedený súhlas sa nevyžaduje v prípadoch definovaných čl. V stanovy VVS, a. s. Účinnosť zmluvy o prevode akcií s vybraným účastníkom súťaže, ktorý je akcionárom VVS, a. s., však nenastane skôr ako deň nasledujúci po dni jej zverejnenia v centrálnom registri zmlúv podľa § 47a ods. 1 zákona č. 40/1964 Zb. Občiansky zákonník v z. n. p. </w:t>
      </w:r>
      <w:r>
        <w:rPr>
          <w:rFonts w:ascii="Times New Roman" w:hAnsi="Times New Roman" w:cs="Times New Roman"/>
          <w:i/>
          <w:iCs/>
          <w:sz w:val="24"/>
          <w:szCs w:val="24"/>
        </w:rPr>
        <w:t>(ďalej len „Občiansky zákonník“)</w:t>
      </w:r>
      <w:r>
        <w:rPr>
          <w:rFonts w:ascii="Times New Roman" w:hAnsi="Times New Roman" w:cs="Times New Roman"/>
          <w:sz w:val="24"/>
          <w:szCs w:val="24"/>
        </w:rPr>
        <w:t>.</w:t>
      </w:r>
    </w:p>
    <w:p w14:paraId="4FE2019B">
      <w:pPr>
        <w:pStyle w:val="23"/>
        <w:tabs>
          <w:tab w:val="left" w:pos="0"/>
          <w:tab w:val="left" w:pos="284"/>
        </w:tabs>
        <w:spacing w:after="0" w:line="240" w:lineRule="auto"/>
        <w:ind w:left="0" w:firstLine="284"/>
        <w:jc w:val="both"/>
        <w:rPr>
          <w:rFonts w:ascii="Times New Roman" w:hAnsi="Times New Roman" w:cs="Times New Roman"/>
          <w:sz w:val="24"/>
          <w:szCs w:val="24"/>
        </w:rPr>
      </w:pPr>
      <w:r>
        <w:rPr>
          <w:rFonts w:ascii="Times New Roman" w:hAnsi="Times New Roman" w:cs="Times New Roman"/>
          <w:sz w:val="24"/>
          <w:szCs w:val="24"/>
        </w:rPr>
        <w:t>Splnenie odkladacej podmienky 2 sa nevyžaduje v prípade, ak vybraným účastníkom súťaže je emitent akcií, ktoré sú predmetom súťaže. V prípade, ak je vybraným účastníkom súťaže emitent akcií, nadobudne zmluva o prevode akcií účinnosť jeho riadnym a včasným uplatnením predkupného práva (splnením odkladacej podmienky 1). Účinnosť zmluvy o prevode akcií s vybraným účastníkom súťaže, ktorý je emitent akcií, však nenastane skôr ako deň nasledujúci po dni jej zverejnenia v centrálnom registri zmlúv podľa § 47a ods. 1 Občianskeho zákonníka.</w:t>
      </w:r>
    </w:p>
    <w:p w14:paraId="2C647DBD">
      <w:pPr>
        <w:pStyle w:val="23"/>
        <w:tabs>
          <w:tab w:val="left" w:pos="0"/>
          <w:tab w:val="left" w:pos="284"/>
        </w:tabs>
        <w:spacing w:after="0" w:line="240" w:lineRule="auto"/>
        <w:ind w:left="0" w:firstLine="284"/>
        <w:jc w:val="both"/>
        <w:rPr>
          <w:rFonts w:ascii="Times New Roman" w:hAnsi="Times New Roman" w:cs="Times New Roman"/>
          <w:sz w:val="24"/>
          <w:szCs w:val="24"/>
        </w:rPr>
      </w:pPr>
      <w:r>
        <w:rPr>
          <w:rFonts w:ascii="Times New Roman" w:hAnsi="Times New Roman" w:cs="Times New Roman"/>
          <w:sz w:val="24"/>
          <w:szCs w:val="24"/>
        </w:rPr>
        <w:t xml:space="preserve"> Nadobudnutie účinnosti zmluvy o prevode akcií s vybraným účastníkom súťaže, ktorý nie je akcionárom VVS, a. s., je podmienené splnením</w:t>
      </w:r>
      <w:r>
        <w:rPr>
          <w:rFonts w:ascii="Times New Roman" w:hAnsi="Times New Roman" w:cs="Times New Roman"/>
          <w:i/>
          <w:iCs/>
          <w:sz w:val="24"/>
          <w:szCs w:val="24"/>
        </w:rPr>
        <w:t xml:space="preserve"> </w:t>
      </w:r>
      <w:r>
        <w:rPr>
          <w:rFonts w:ascii="Times New Roman" w:hAnsi="Times New Roman" w:cs="Times New Roman"/>
          <w:sz w:val="24"/>
          <w:szCs w:val="24"/>
        </w:rPr>
        <w:t>odkladacej podmienky 2 – udelením súhlasu VVS, a  s. s prevodom akcií a oznámením rozhodnutia obci Svätá Mária. Účinnosť zmluvy o prevode akcií s vybraným účastníkom súťaže, ktorý nie je akcionárom VVS, a. s., však nenastane skôr ako deň nasledujúci po dni jej zverejnenia v centrálnom registri zmlúv podľa § 47a ods. 1 Občianskeho zákonníka.</w:t>
      </w:r>
    </w:p>
    <w:p w14:paraId="26387AC0">
      <w:pPr>
        <w:pStyle w:val="23"/>
        <w:tabs>
          <w:tab w:val="left" w:pos="0"/>
          <w:tab w:val="left" w:pos="284"/>
        </w:tabs>
        <w:spacing w:after="0" w:line="240" w:lineRule="auto"/>
        <w:ind w:left="0" w:firstLine="284"/>
        <w:jc w:val="both"/>
        <w:rPr>
          <w:rFonts w:ascii="Times New Roman" w:hAnsi="Times New Roman" w:cs="Times New Roman"/>
          <w:sz w:val="24"/>
          <w:szCs w:val="24"/>
        </w:rPr>
      </w:pPr>
      <w:r>
        <w:rPr>
          <w:rFonts w:ascii="Times New Roman" w:hAnsi="Times New Roman" w:cs="Times New Roman"/>
          <w:sz w:val="24"/>
          <w:szCs w:val="24"/>
        </w:rPr>
        <w:t>Ak nedôjde k splneniu odkladacej podmienky 1 a odkladacej podmienky 2, zmluva o prevode akcií medzi vyhlasovateľom súťaže a vybraným účastníkom súťaže, ktorý je akcionárom VVS, a. s. (po jej zverejnení v centrálnom registri zmlúv podľa § 47a Občianskeho zákonník)  zaniká v celom rozsahu dňom oznámenia rozhodnutia o neudelení súhlasu s prevodom obci. Ak nedôjde k splneniu odkladacej podmienky 2, zmluva o prevode akcií medzi obcou a vybraným účastníkom súťaže, ktorý nie je akcionárom VVS, a. s. (po jej zverejnení v centrálnom registri zmlúv podľa § 47a Občianskeho zákonník) zaniká v celom rozsahu dňom oznámenia rozhodnutia o neudelení súhlasu s prevodom obci.  Ak nedôjde k splneniu odkladacej podmienky 1, zmluva o prevode akcií medzi obcou a vybraným účastníkom súťaže, ktorým je emitent akcií (po jej zverejnení v centrálnom registri zmlúv podľa § 47a Občianskeho zákonník)  zaniká v celom rozsahu márnym uplynutím lehoty na uplatnenie predkupného práva.</w:t>
      </w:r>
    </w:p>
    <w:p w14:paraId="34D9C125">
      <w:pPr>
        <w:spacing w:before="100" w:beforeAutospacing="1" w:after="0" w:line="240" w:lineRule="auto"/>
        <w:rPr>
          <w:rFonts w:ascii="Times New Roman" w:hAnsi="Times New Roman" w:eastAsia="Times New Roman" w:cs="Times New Roman"/>
          <w:b/>
          <w:bCs/>
          <w:i/>
          <w:iCs/>
          <w:sz w:val="24"/>
          <w:szCs w:val="24"/>
          <w:lang w:eastAsia="sk-SK"/>
        </w:rPr>
      </w:pPr>
      <w:r>
        <w:rPr>
          <w:rFonts w:ascii="Times New Roman" w:hAnsi="Times New Roman" w:cs="Times New Roman"/>
          <w:sz w:val="24"/>
          <w:szCs w:val="24"/>
        </w:rPr>
        <w:t xml:space="preserve">Ďalšie procesné náležitosti predkladania a hodnotenia súťažných návrhov, ako aj zásady ostatného obsahu zamýšľanej zmluvy sú obsiahnuté v texte podmienok obchodnej verejnej súťaže – tá je súčasťou materiálov OcZ (viď nižšie). </w:t>
      </w:r>
    </w:p>
    <w:p w14:paraId="39920C3B">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756E35E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32EC02EF">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233959F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4</w:t>
            </w:r>
          </w:p>
          <w:p w14:paraId="6A3C91EC">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30B6F1FD">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 Fučková, Horóckyová Valéria , PhDr.,MPH , J. Kováč, , P. Zelenáková</w:t>
            </w:r>
          </w:p>
        </w:tc>
      </w:tr>
      <w:tr w14:paraId="14F44D5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201795B9">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43D79EC4">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1</w:t>
            </w:r>
          </w:p>
        </w:tc>
        <w:tc>
          <w:tcPr>
            <w:tcW w:w="3250" w:type="pct"/>
            <w:tcBorders>
              <w:top w:val="outset" w:color="000000" w:sz="6" w:space="0"/>
              <w:left w:val="outset" w:color="000000" w:sz="6" w:space="0"/>
              <w:bottom w:val="outset" w:color="000000" w:sz="6" w:space="0"/>
              <w:right w:val="outset" w:color="000000" w:sz="6" w:space="0"/>
            </w:tcBorders>
          </w:tcPr>
          <w:p w14:paraId="41F2A6C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Š. Zselenák</w:t>
            </w:r>
          </w:p>
        </w:tc>
      </w:tr>
      <w:tr w14:paraId="1D67116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7B48263F">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19F033B4">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2EFC3AC3">
            <w:pPr>
              <w:spacing w:before="100" w:beforeAutospacing="1" w:after="0" w:line="240" w:lineRule="auto"/>
              <w:rPr>
                <w:rFonts w:ascii="Times New Roman" w:hAnsi="Times New Roman" w:eastAsia="Times New Roman" w:cs="Times New Roman"/>
                <w:sz w:val="24"/>
                <w:szCs w:val="24"/>
                <w:lang w:eastAsia="sk-SK"/>
              </w:rPr>
            </w:pPr>
          </w:p>
        </w:tc>
      </w:tr>
      <w:tr w14:paraId="36930CE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rHeight w:val="127" w:hRule="atLeast"/>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16143A1F">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2106819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2</w:t>
            </w:r>
          </w:p>
        </w:tc>
        <w:tc>
          <w:tcPr>
            <w:tcW w:w="3250" w:type="pct"/>
            <w:tcBorders>
              <w:top w:val="outset" w:color="000000" w:sz="6" w:space="0"/>
              <w:left w:val="outset" w:color="000000" w:sz="6" w:space="0"/>
              <w:bottom w:val="outset" w:color="000000" w:sz="6" w:space="0"/>
              <w:right w:val="outset" w:color="000000" w:sz="6" w:space="0"/>
            </w:tcBorders>
          </w:tcPr>
          <w:p w14:paraId="11A65EE4">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4263872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7F44158A">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i/>
          <w:iCs/>
          <w:sz w:val="24"/>
          <w:szCs w:val="24"/>
          <w:lang w:eastAsia="sk-SK"/>
        </w:rPr>
        <w:t>V Svätej Márii, dňa: ….....................................</w:t>
      </w:r>
    </w:p>
    <w:p w14:paraId="19ECA8BF">
      <w:pPr>
        <w:spacing w:before="100" w:beforeAutospacing="1" w:after="0" w:line="240" w:lineRule="auto"/>
        <w:rPr>
          <w:rFonts w:ascii="Times New Roman" w:hAnsi="Times New Roman" w:eastAsia="Times New Roman" w:cs="Times New Roman"/>
          <w:b/>
          <w:bCs/>
          <w:i/>
          <w:iCs/>
          <w:sz w:val="26"/>
          <w:szCs w:val="26"/>
          <w:lang w:eastAsia="sk-SK"/>
        </w:rPr>
      </w:pPr>
      <w:r>
        <w:rPr>
          <w:rFonts w:ascii="Times New Roman" w:hAnsi="Times New Roman" w:eastAsia="Times New Roman" w:cs="Times New Roman"/>
          <w:b/>
          <w:bCs/>
          <w:i/>
          <w:iCs/>
          <w:sz w:val="26"/>
          <w:szCs w:val="26"/>
          <w:lang w:eastAsia="sk-SK"/>
        </w:rPr>
        <w:t>Uznesenie č. 14/2025/e</w:t>
      </w:r>
    </w:p>
    <w:p w14:paraId="0A6B8B07">
      <w:pPr>
        <w:spacing w:before="100" w:beforeAutospacing="1" w:after="0" w:line="240" w:lineRule="auto"/>
        <w:rPr>
          <w:rFonts w:ascii="Times New Roman" w:hAnsi="Times New Roman" w:eastAsia="Times New Roman" w:cs="Times New Roman"/>
          <w:b/>
          <w:bCs/>
          <w:i/>
          <w:iCs/>
          <w:sz w:val="26"/>
          <w:szCs w:val="26"/>
          <w:lang w:eastAsia="sk-SK"/>
        </w:rPr>
      </w:pPr>
    </w:p>
    <w:p w14:paraId="40B52A72">
      <w:pPr>
        <w:tabs>
          <w:tab w:val="left" w:pos="0"/>
          <w:tab w:val="left" w:pos="851"/>
        </w:tabs>
        <w:spacing w:after="0" w:line="240" w:lineRule="auto"/>
        <w:jc w:val="both"/>
        <w:rPr>
          <w:rFonts w:ascii="Times New Roman" w:hAnsi="Times New Roman" w:cs="Times New Roman"/>
          <w:i/>
          <w:sz w:val="24"/>
          <w:szCs w:val="24"/>
        </w:rPr>
      </w:pPr>
      <w:r>
        <w:rPr>
          <w:rFonts w:ascii="Times New Roman" w:hAnsi="Times New Roman" w:cs="Times New Roman"/>
          <w:b/>
          <w:i/>
          <w:sz w:val="24"/>
          <w:szCs w:val="24"/>
        </w:rPr>
        <w:t>Obecné zastupiteľstvo obce Svätá Mária</w:t>
      </w:r>
    </w:p>
    <w:p w14:paraId="012A27F7">
      <w:pPr>
        <w:spacing w:after="0" w:line="240" w:lineRule="auto"/>
        <w:rPr>
          <w:rFonts w:ascii="Times New Roman" w:hAnsi="Times New Roman" w:cs="Times New Roman"/>
          <w:i/>
          <w:sz w:val="24"/>
          <w:szCs w:val="24"/>
        </w:rPr>
      </w:pPr>
    </w:p>
    <w:p w14:paraId="494BEC52">
      <w:pPr>
        <w:spacing w:after="0" w:line="240" w:lineRule="auto"/>
        <w:jc w:val="both"/>
        <w:rPr>
          <w:rFonts w:ascii="Times New Roman" w:hAnsi="Times New Roman" w:cs="Times New Roman"/>
          <w:b/>
          <w:bCs/>
          <w:iCs/>
          <w:sz w:val="24"/>
          <w:szCs w:val="24"/>
        </w:rPr>
      </w:pPr>
      <w:r>
        <w:rPr>
          <w:rFonts w:ascii="Times New Roman" w:hAnsi="Times New Roman" w:cs="Times New Roman"/>
          <w:b/>
          <w:bCs/>
          <w:iCs/>
          <w:sz w:val="24"/>
          <w:szCs w:val="24"/>
        </w:rPr>
        <w:t xml:space="preserve">schvaľuje </w:t>
      </w:r>
    </w:p>
    <w:p w14:paraId="00B5EB79">
      <w:pPr>
        <w:pStyle w:val="23"/>
        <w:tabs>
          <w:tab w:val="left" w:pos="284"/>
        </w:tabs>
        <w:spacing w:after="0" w:line="240" w:lineRule="auto"/>
        <w:ind w:left="0"/>
        <w:jc w:val="both"/>
        <w:rPr>
          <w:rFonts w:ascii="Times New Roman" w:hAnsi="Times New Roman" w:cs="Times New Roman"/>
          <w:sz w:val="24"/>
          <w:szCs w:val="24"/>
        </w:rPr>
      </w:pPr>
    </w:p>
    <w:p w14:paraId="5E172C30">
      <w:pPr>
        <w:tabs>
          <w:tab w:val="left" w:pos="284"/>
        </w:tabs>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podľa § 11 ods. 4  zákona SNR č. 369/1990 Zb. o obecnom zriadení v z. n. p. (ďalej len „zákon o obecnom zriadení“)</w:t>
      </w:r>
    </w:p>
    <w:p w14:paraId="3A072639">
      <w:pPr>
        <w:tabs>
          <w:tab w:val="left" w:pos="284"/>
        </w:tabs>
        <w:spacing w:after="0" w:line="240" w:lineRule="auto"/>
        <w:jc w:val="both"/>
        <w:rPr>
          <w:rFonts w:ascii="Times New Roman" w:hAnsi="Times New Roman" w:cs="Times New Roman"/>
          <w:b/>
          <w:bCs/>
          <w:sz w:val="24"/>
          <w:szCs w:val="24"/>
        </w:rPr>
      </w:pPr>
    </w:p>
    <w:p w14:paraId="3F523685">
      <w:pPr>
        <w:tabs>
          <w:tab w:val="left" w:pos="567"/>
        </w:tabs>
        <w:spacing w:after="0" w:line="240" w:lineRule="auto"/>
        <w:jc w:val="both"/>
        <w:rPr>
          <w:rFonts w:ascii="Times New Roman" w:hAnsi="Times New Roman" w:cs="Times New Roman"/>
          <w:b/>
          <w:bCs/>
          <w:iCs/>
          <w:sz w:val="24"/>
          <w:szCs w:val="24"/>
        </w:rPr>
      </w:pPr>
      <w:r>
        <w:rPr>
          <w:rFonts w:ascii="Times New Roman" w:hAnsi="Times New Roman" w:cs="Times New Roman"/>
          <w:b/>
          <w:bCs/>
          <w:iCs/>
          <w:sz w:val="24"/>
          <w:szCs w:val="24"/>
        </w:rPr>
        <w:t xml:space="preserve">komisiu na vyhodnocovanie súťažných návrhov v rámci obchodnej verejnej súťaže na prevod hromadnej akcie série B </w:t>
      </w:r>
      <w:r>
        <w:rPr>
          <w:rFonts w:ascii="Times New Roman" w:hAnsi="Times New Roman" w:cs="Times New Roman"/>
          <w:b/>
          <w:bCs/>
          <w:sz w:val="24"/>
          <w:szCs w:val="24"/>
        </w:rPr>
        <w:t xml:space="preserve">obce Svätá Mária </w:t>
      </w:r>
      <w:r>
        <w:rPr>
          <w:rFonts w:ascii="Times New Roman" w:hAnsi="Times New Roman" w:cs="Times New Roman"/>
          <w:b/>
          <w:bCs/>
          <w:i/>
          <w:sz w:val="24"/>
          <w:szCs w:val="24"/>
        </w:rPr>
        <w:t xml:space="preserve">(ďalej len „obec“) </w:t>
      </w:r>
      <w:r>
        <w:rPr>
          <w:rFonts w:ascii="Times New Roman" w:hAnsi="Times New Roman" w:cs="Times New Roman"/>
          <w:b/>
          <w:bCs/>
          <w:sz w:val="24"/>
          <w:szCs w:val="24"/>
        </w:rPr>
        <w:t xml:space="preserve"> v obchodnej spoločnosti Východoslovenská vodárenská spoločnosť, a. s.</w:t>
      </w:r>
    </w:p>
    <w:p w14:paraId="50024FAD">
      <w:pPr>
        <w:tabs>
          <w:tab w:val="left" w:pos="567"/>
        </w:tabs>
        <w:spacing w:after="0" w:line="240" w:lineRule="auto"/>
        <w:rPr>
          <w:rFonts w:ascii="Times New Roman" w:hAnsi="Times New Roman" w:cs="Times New Roman"/>
          <w:iCs/>
          <w:sz w:val="24"/>
          <w:szCs w:val="24"/>
        </w:rPr>
      </w:pPr>
    </w:p>
    <w:p w14:paraId="03B78501">
      <w:pPr>
        <w:shd w:val="clear" w:color="auto" w:fill="FFFFFF"/>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Obec má zámer previesť vlastnícke právo k jednotlivo určeným akciám, nahradených hromadnou akciou série B, ktorých menovitá hodnota tvorí základné imanie v obchodnej spoločnosti Východoslovenská vodárenská spoločnosť, a. s., IČO: 36 570 460, so sídlom Komenského 50, 042 48 Košice, zapísanej v Obchodnom registri Mestského súdu Košice, Oddiel: Sa, Vložka číslo: 1243/V </w:t>
      </w:r>
      <w:r>
        <w:rPr>
          <w:rFonts w:ascii="Times New Roman" w:hAnsi="Times New Roman" w:cs="Times New Roman"/>
          <w:i/>
          <w:iCs/>
          <w:sz w:val="24"/>
          <w:szCs w:val="24"/>
        </w:rPr>
        <w:t>(ďalej aj „VVS, a. s.“, „ akciová spoločnosť“ alebo „spoločnosť“)</w:t>
      </w:r>
      <w:r>
        <w:rPr>
          <w:rFonts w:ascii="Times New Roman" w:hAnsi="Times New Roman" w:cs="Times New Roman"/>
          <w:sz w:val="24"/>
          <w:szCs w:val="24"/>
        </w:rPr>
        <w:t>, s nasledovnými údajmi:</w:t>
      </w:r>
    </w:p>
    <w:p w14:paraId="32763315">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Počet prevádzaných akcií: </w:t>
      </w:r>
      <w:r>
        <w:rPr>
          <w:rFonts w:ascii="Times New Roman" w:hAnsi="Times New Roman" w:cs="Times New Roman"/>
          <w:b/>
          <w:bCs/>
          <w:sz w:val="24"/>
          <w:szCs w:val="24"/>
        </w:rPr>
        <w:t>akcie 3673 kusov</w:t>
      </w:r>
      <w:r>
        <w:rPr>
          <w:rFonts w:ascii="Times New Roman" w:hAnsi="Times New Roman" w:cs="Times New Roman"/>
          <w:sz w:val="24"/>
          <w:szCs w:val="24"/>
        </w:rPr>
        <w:t xml:space="preserve">, ktoré </w:t>
      </w:r>
      <w:r>
        <w:rPr>
          <w:rFonts w:ascii="Times New Roman" w:hAnsi="Times New Roman" w:cs="Times New Roman"/>
          <w:b/>
          <w:bCs/>
          <w:sz w:val="24"/>
          <w:szCs w:val="24"/>
        </w:rPr>
        <w:t>nahrádza jeden kus hromadnej akcie série B</w:t>
      </w:r>
      <w:r>
        <w:rPr>
          <w:rFonts w:ascii="Times New Roman" w:hAnsi="Times New Roman" w:cs="Times New Roman"/>
          <w:sz w:val="24"/>
          <w:szCs w:val="24"/>
        </w:rPr>
        <w:t>,</w:t>
      </w:r>
    </w:p>
    <w:p w14:paraId="7B927D8C">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b/>
          <w:bCs/>
          <w:sz w:val="24"/>
          <w:szCs w:val="24"/>
        </w:rPr>
        <w:t> </w:t>
      </w:r>
      <w:r>
        <w:rPr>
          <w:rFonts w:ascii="Times New Roman" w:hAnsi="Times New Roman" w:cs="Times New Roman"/>
          <w:sz w:val="24"/>
          <w:szCs w:val="24"/>
        </w:rPr>
        <w:t xml:space="preserve">Menovitá hodnota jedného kusu jednotlivo určenej akcie: </w:t>
      </w:r>
      <w:r>
        <w:rPr>
          <w:rFonts w:ascii="Times New Roman" w:hAnsi="Times New Roman" w:cs="Times New Roman"/>
          <w:b/>
          <w:bCs/>
          <w:sz w:val="24"/>
          <w:szCs w:val="24"/>
        </w:rPr>
        <w:t xml:space="preserve">33,- € </w:t>
      </w:r>
      <w:r>
        <w:rPr>
          <w:rFonts w:ascii="Times New Roman" w:hAnsi="Times New Roman" w:cs="Times New Roman"/>
          <w:b/>
          <w:bCs/>
          <w:i/>
          <w:iCs/>
          <w:sz w:val="24"/>
          <w:szCs w:val="24"/>
        </w:rPr>
        <w:t>(slovom tridsaťtri eur)</w:t>
      </w:r>
      <w:r>
        <w:rPr>
          <w:rFonts w:ascii="Times New Roman" w:hAnsi="Times New Roman" w:cs="Times New Roman"/>
          <w:sz w:val="24"/>
          <w:szCs w:val="24"/>
        </w:rPr>
        <w:t>.</w:t>
      </w:r>
    </w:p>
    <w:p w14:paraId="3DE76AA8">
      <w:pPr>
        <w:pStyle w:val="23"/>
        <w:tabs>
          <w:tab w:val="left" w:pos="284"/>
        </w:tabs>
        <w:spacing w:after="0" w:line="240" w:lineRule="auto"/>
        <w:ind w:left="567"/>
        <w:contextualSpacing w:val="0"/>
        <w:jc w:val="both"/>
        <w:rPr>
          <w:rFonts w:ascii="Times New Roman" w:hAnsi="Times New Roman" w:cs="Times New Roman"/>
          <w:sz w:val="24"/>
          <w:szCs w:val="24"/>
        </w:rPr>
      </w:pPr>
      <w:r>
        <w:rPr>
          <w:rFonts w:ascii="Times New Roman" w:hAnsi="Times New Roman" w:cs="Times New Roman"/>
          <w:sz w:val="24"/>
          <w:szCs w:val="24"/>
        </w:rPr>
        <w:t>Súhrnná menovitá hodnota prevádzanej hromadnej akcie série B je tvorená súčtom menovitých hodnôt jednotlivo určených akcií toho istého druhu, ktoré hromadná akcia série B nahrádza.</w:t>
      </w:r>
    </w:p>
    <w:p w14:paraId="71F3802D">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Podoba akcií, ktoré hromadná akcia série B nahrádza: </w:t>
      </w:r>
      <w:r>
        <w:rPr>
          <w:rFonts w:ascii="Times New Roman" w:hAnsi="Times New Roman" w:cs="Times New Roman"/>
          <w:b/>
          <w:bCs/>
          <w:sz w:val="24"/>
          <w:szCs w:val="24"/>
        </w:rPr>
        <w:t>listinné</w:t>
      </w:r>
      <w:r>
        <w:rPr>
          <w:rFonts w:ascii="Times New Roman" w:hAnsi="Times New Roman" w:cs="Times New Roman"/>
          <w:sz w:val="24"/>
          <w:szCs w:val="24"/>
        </w:rPr>
        <w:t>.</w:t>
      </w:r>
    </w:p>
    <w:p w14:paraId="258933B0">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Forma akcií, ktoré hromadná akcia série B nahrádza: </w:t>
      </w:r>
      <w:r>
        <w:rPr>
          <w:rFonts w:ascii="Times New Roman" w:hAnsi="Times New Roman" w:cs="Times New Roman"/>
          <w:b/>
          <w:bCs/>
          <w:sz w:val="24"/>
          <w:szCs w:val="24"/>
        </w:rPr>
        <w:t>na meno</w:t>
      </w:r>
      <w:r>
        <w:rPr>
          <w:rFonts w:ascii="Times New Roman" w:hAnsi="Times New Roman" w:cs="Times New Roman"/>
          <w:sz w:val="24"/>
          <w:szCs w:val="24"/>
        </w:rPr>
        <w:t>.</w:t>
      </w:r>
    </w:p>
    <w:p w14:paraId="1B90ABA6">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Druh akcií, ktoré hromadná akcia série B nahrádza: </w:t>
      </w:r>
      <w:r>
        <w:rPr>
          <w:rFonts w:ascii="Times New Roman" w:hAnsi="Times New Roman" w:cs="Times New Roman"/>
          <w:b/>
          <w:bCs/>
          <w:sz w:val="24"/>
          <w:szCs w:val="24"/>
        </w:rPr>
        <w:t>kmeňové s obmedzenou prevoditeľnosťou</w:t>
      </w:r>
      <w:r>
        <w:rPr>
          <w:rFonts w:ascii="Times New Roman" w:hAnsi="Times New Roman" w:cs="Times New Roman"/>
          <w:sz w:val="24"/>
          <w:szCs w:val="24"/>
        </w:rPr>
        <w:t>.</w:t>
      </w:r>
      <w:r>
        <w:rPr>
          <w:rFonts w:ascii="Times New Roman" w:hAnsi="Times New Roman" w:cs="Times New Roman"/>
          <w:b/>
          <w:bCs/>
          <w:sz w:val="24"/>
          <w:szCs w:val="24"/>
        </w:rPr>
        <w:t> </w:t>
      </w:r>
    </w:p>
    <w:p w14:paraId="1815C870">
      <w:pPr>
        <w:pStyle w:val="23"/>
        <w:numPr>
          <w:ilvl w:val="0"/>
          <w:numId w:val="5"/>
        </w:numPr>
        <w:tabs>
          <w:tab w:val="left" w:pos="284"/>
        </w:tabs>
        <w:spacing w:after="0" w:line="240" w:lineRule="auto"/>
        <w:ind w:left="567" w:hanging="283"/>
        <w:contextualSpacing w:val="0"/>
        <w:jc w:val="both"/>
        <w:rPr>
          <w:rFonts w:ascii="Times New Roman" w:hAnsi="Times New Roman" w:cs="Times New Roman"/>
          <w:sz w:val="24"/>
          <w:szCs w:val="24"/>
        </w:rPr>
      </w:pPr>
      <w:r>
        <w:rPr>
          <w:rFonts w:ascii="Times New Roman" w:hAnsi="Times New Roman" w:cs="Times New Roman"/>
          <w:sz w:val="24"/>
          <w:szCs w:val="24"/>
        </w:rPr>
        <w:t xml:space="preserve">ISIN akcií: </w:t>
      </w:r>
      <w:r>
        <w:rPr>
          <w:rFonts w:ascii="Times New Roman" w:hAnsi="Times New Roman" w:cs="Times New Roman"/>
          <w:b/>
          <w:bCs/>
          <w:sz w:val="24"/>
          <w:szCs w:val="24"/>
        </w:rPr>
        <w:t>nebol pridelený</w:t>
      </w:r>
      <w:r>
        <w:rPr>
          <w:rFonts w:ascii="Times New Roman" w:hAnsi="Times New Roman" w:cs="Times New Roman"/>
          <w:sz w:val="24"/>
          <w:szCs w:val="24"/>
        </w:rPr>
        <w:t>.</w:t>
      </w:r>
    </w:p>
    <w:p w14:paraId="16B72EF5">
      <w:pPr>
        <w:pStyle w:val="23"/>
        <w:tabs>
          <w:tab w:val="left" w:pos="284"/>
        </w:tabs>
        <w:spacing w:after="0" w:line="240" w:lineRule="auto"/>
        <w:ind w:left="567"/>
        <w:jc w:val="right"/>
        <w:rPr>
          <w:rFonts w:ascii="Times New Roman" w:hAnsi="Times New Roman" w:cs="Times New Roman"/>
          <w:sz w:val="24"/>
          <w:szCs w:val="24"/>
        </w:rPr>
      </w:pPr>
      <w:r>
        <w:rPr>
          <w:rFonts w:ascii="Times New Roman" w:hAnsi="Times New Roman" w:cs="Times New Roman"/>
          <w:i/>
          <w:iCs/>
          <w:sz w:val="24"/>
          <w:szCs w:val="24"/>
        </w:rPr>
        <w:t>(ďalej aj „hromadná akcia série B“ alebo „predmet zamýšľaného prevodu“)</w:t>
      </w:r>
      <w:r>
        <w:rPr>
          <w:rFonts w:ascii="Times New Roman" w:hAnsi="Times New Roman" w:cs="Times New Roman"/>
          <w:sz w:val="24"/>
          <w:szCs w:val="24"/>
        </w:rPr>
        <w:t>.</w:t>
      </w:r>
    </w:p>
    <w:p w14:paraId="0C911E4F">
      <w:pPr>
        <w:tabs>
          <w:tab w:val="left" w:pos="567"/>
        </w:tabs>
        <w:spacing w:after="0" w:line="240" w:lineRule="auto"/>
        <w:ind w:firstLine="284"/>
        <w:jc w:val="both"/>
        <w:rPr>
          <w:rFonts w:ascii="Times New Roman" w:hAnsi="Times New Roman" w:cs="Times New Roman"/>
          <w:iCs/>
          <w:sz w:val="24"/>
          <w:szCs w:val="24"/>
        </w:rPr>
      </w:pPr>
      <w:r>
        <w:rPr>
          <w:rFonts w:ascii="Times New Roman" w:hAnsi="Times New Roman" w:cs="Times New Roman"/>
          <w:sz w:val="24"/>
          <w:szCs w:val="24"/>
        </w:rPr>
        <w:t>Prevod hromadnej akcie série B v prospech vybraného účastníka súťaže na hmotnoprávnom základe zmluvy o prevode akcií bude uskutočnený na procesnom základe postupu spôsobom (formou) obchodnej verejnej súťaže.</w:t>
      </w:r>
      <w:r>
        <w:rPr>
          <w:rFonts w:ascii="Times New Roman" w:hAnsi="Times New Roman" w:cs="Times New Roman"/>
          <w:iCs/>
          <w:sz w:val="24"/>
          <w:szCs w:val="24"/>
        </w:rPr>
        <w:t xml:space="preserve"> Obec zriaďuje komisiu na vyhodnocovanie súťažných návrhov v rámci</w:t>
      </w:r>
      <w:r>
        <w:rPr>
          <w:rFonts w:ascii="Times New Roman" w:hAnsi="Times New Roman" w:cs="Times New Roman"/>
          <w:b/>
          <w:bCs/>
          <w:iCs/>
          <w:sz w:val="24"/>
          <w:szCs w:val="24"/>
        </w:rPr>
        <w:t xml:space="preserve"> </w:t>
      </w:r>
      <w:r>
        <w:rPr>
          <w:rFonts w:ascii="Times New Roman" w:hAnsi="Times New Roman" w:cs="Times New Roman"/>
          <w:iCs/>
          <w:sz w:val="24"/>
          <w:szCs w:val="24"/>
        </w:rPr>
        <w:t xml:space="preserve">obchodnej verejnej súťaže na prevod hromadnej akcie série B </w:t>
      </w:r>
      <w:r>
        <w:rPr>
          <w:rFonts w:ascii="Times New Roman" w:hAnsi="Times New Roman" w:cs="Times New Roman"/>
          <w:sz w:val="24"/>
          <w:szCs w:val="24"/>
        </w:rPr>
        <w:t>obce v obchodnej spoločnosti VVS, a. s.</w:t>
      </w:r>
      <w:r>
        <w:rPr>
          <w:rFonts w:ascii="Times New Roman" w:hAnsi="Times New Roman" w:cs="Times New Roman"/>
          <w:iCs/>
          <w:sz w:val="24"/>
          <w:szCs w:val="24"/>
        </w:rPr>
        <w:t>, pozostávajúcu z nasledovných členov:</w:t>
      </w:r>
    </w:p>
    <w:p w14:paraId="3644841B">
      <w:pPr>
        <w:pStyle w:val="23"/>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Alžbeta Matyásová</w:t>
      </w:r>
    </w:p>
    <w:p w14:paraId="68FC3BEE">
      <w:pPr>
        <w:pStyle w:val="23"/>
        <w:numPr>
          <w:ilvl w:val="0"/>
          <w:numId w:val="6"/>
        </w:numPr>
        <w:spacing w:after="0" w:line="240" w:lineRule="auto"/>
        <w:jc w:val="both"/>
        <w:rPr>
          <w:rFonts w:ascii="Times New Roman" w:hAnsi="Times New Roman" w:cs="Times New Roman"/>
          <w:sz w:val="24"/>
          <w:szCs w:val="24"/>
        </w:rPr>
      </w:pPr>
      <w:r>
        <w:rPr>
          <w:rFonts w:ascii="Times New Roman" w:hAnsi="Times New Roman" w:eastAsia="Times New Roman" w:cs="Times New Roman"/>
          <w:sz w:val="24"/>
          <w:szCs w:val="24"/>
          <w:lang w:eastAsia="sk-SK"/>
        </w:rPr>
        <w:t xml:space="preserve">A. Fučková, </w:t>
      </w:r>
    </w:p>
    <w:p w14:paraId="741E85A5">
      <w:pPr>
        <w:pStyle w:val="23"/>
        <w:numPr>
          <w:ilvl w:val="0"/>
          <w:numId w:val="6"/>
        </w:numPr>
        <w:spacing w:after="0" w:line="240" w:lineRule="auto"/>
        <w:jc w:val="both"/>
        <w:rPr>
          <w:rFonts w:ascii="Times New Roman" w:hAnsi="Times New Roman" w:cs="Times New Roman"/>
          <w:sz w:val="24"/>
          <w:szCs w:val="24"/>
        </w:rPr>
      </w:pPr>
      <w:r>
        <w:rPr>
          <w:rFonts w:ascii="Times New Roman" w:hAnsi="Times New Roman" w:eastAsia="Times New Roman" w:cs="Times New Roman"/>
          <w:sz w:val="24"/>
          <w:szCs w:val="24"/>
          <w:lang w:eastAsia="sk-SK"/>
        </w:rPr>
        <w:t>Horóckyová Valéria</w:t>
      </w:r>
    </w:p>
    <w:p w14:paraId="4908507E">
      <w:pPr>
        <w:pStyle w:val="23"/>
        <w:numPr>
          <w:ilvl w:val="0"/>
          <w:numId w:val="6"/>
        </w:numPr>
        <w:spacing w:after="0" w:line="240" w:lineRule="auto"/>
        <w:jc w:val="both"/>
        <w:rPr>
          <w:rFonts w:ascii="Times New Roman" w:hAnsi="Times New Roman" w:cs="Times New Roman"/>
          <w:sz w:val="24"/>
          <w:szCs w:val="24"/>
        </w:rPr>
      </w:pPr>
      <w:r>
        <w:rPr>
          <w:rFonts w:ascii="Times New Roman" w:hAnsi="Times New Roman" w:eastAsia="Times New Roman" w:cs="Times New Roman"/>
          <w:sz w:val="24"/>
          <w:szCs w:val="24"/>
          <w:lang w:eastAsia="sk-SK"/>
        </w:rPr>
        <w:t xml:space="preserve">PhDr., MPH , J. Kováč, </w:t>
      </w:r>
    </w:p>
    <w:p w14:paraId="6C1D42A1">
      <w:pPr>
        <w:pStyle w:val="23"/>
        <w:numPr>
          <w:ilvl w:val="0"/>
          <w:numId w:val="6"/>
        </w:numPr>
        <w:spacing w:after="0" w:line="240" w:lineRule="auto"/>
        <w:jc w:val="both"/>
        <w:rPr>
          <w:rFonts w:ascii="Times New Roman" w:hAnsi="Times New Roman" w:cs="Times New Roman"/>
          <w:sz w:val="24"/>
          <w:szCs w:val="24"/>
        </w:rPr>
      </w:pPr>
      <w:r>
        <w:rPr>
          <w:rFonts w:ascii="Times New Roman" w:hAnsi="Times New Roman" w:eastAsia="Times New Roman" w:cs="Times New Roman"/>
          <w:sz w:val="24"/>
          <w:szCs w:val="24"/>
          <w:lang w:eastAsia="sk-SK"/>
        </w:rPr>
        <w:t>P. Zelenáková</w:t>
      </w:r>
    </w:p>
    <w:p w14:paraId="6CAA7D89">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5E15F26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639EE84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6241E134">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4</w:t>
            </w:r>
          </w:p>
          <w:p w14:paraId="146979EF">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2D778AD6">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 Fučková, Horóckyová Valéria , PhDr.,MPH , J. Kováč, , P. Zelenáková</w:t>
            </w:r>
          </w:p>
        </w:tc>
      </w:tr>
      <w:tr w14:paraId="5EDAF56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0B006DC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2A7F118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1</w:t>
            </w:r>
          </w:p>
        </w:tc>
        <w:tc>
          <w:tcPr>
            <w:tcW w:w="3250" w:type="pct"/>
            <w:tcBorders>
              <w:top w:val="outset" w:color="000000" w:sz="6" w:space="0"/>
              <w:left w:val="outset" w:color="000000" w:sz="6" w:space="0"/>
              <w:bottom w:val="outset" w:color="000000" w:sz="6" w:space="0"/>
              <w:right w:val="outset" w:color="000000" w:sz="6" w:space="0"/>
            </w:tcBorders>
          </w:tcPr>
          <w:p w14:paraId="67D12DE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Š. Zselenák</w:t>
            </w:r>
          </w:p>
        </w:tc>
      </w:tr>
      <w:tr w14:paraId="6D722E8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110514E9">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0AFFF3BB">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1836128B">
            <w:pPr>
              <w:spacing w:before="100" w:beforeAutospacing="1" w:after="0" w:line="240" w:lineRule="auto"/>
              <w:rPr>
                <w:rFonts w:ascii="Times New Roman" w:hAnsi="Times New Roman" w:eastAsia="Times New Roman" w:cs="Times New Roman"/>
                <w:sz w:val="24"/>
                <w:szCs w:val="24"/>
                <w:lang w:eastAsia="sk-SK"/>
              </w:rPr>
            </w:pPr>
          </w:p>
        </w:tc>
      </w:tr>
      <w:tr w14:paraId="3EF71B7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rHeight w:val="127" w:hRule="atLeast"/>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506F7DDB">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603C16CB">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2</w:t>
            </w:r>
          </w:p>
        </w:tc>
        <w:tc>
          <w:tcPr>
            <w:tcW w:w="3250" w:type="pct"/>
            <w:tcBorders>
              <w:top w:val="outset" w:color="000000" w:sz="6" w:space="0"/>
              <w:left w:val="outset" w:color="000000" w:sz="6" w:space="0"/>
              <w:bottom w:val="outset" w:color="000000" w:sz="6" w:space="0"/>
              <w:right w:val="outset" w:color="000000" w:sz="6" w:space="0"/>
            </w:tcBorders>
          </w:tcPr>
          <w:p w14:paraId="7C435A96">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28E5582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0173CBA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i/>
          <w:iCs/>
          <w:sz w:val="24"/>
          <w:szCs w:val="24"/>
          <w:lang w:eastAsia="sk-SK"/>
        </w:rPr>
        <w:t>V Svätej Márii, dňa: ….....................................</w:t>
      </w:r>
    </w:p>
    <w:p w14:paraId="448CBE1D">
      <w:pPr>
        <w:spacing w:before="100" w:beforeAutospacing="1" w:after="0" w:line="240" w:lineRule="auto"/>
        <w:rPr>
          <w:rFonts w:ascii="Times New Roman" w:hAnsi="Times New Roman" w:eastAsia="Times New Roman" w:cs="Times New Roman"/>
          <w:b/>
          <w:bCs/>
          <w:i/>
          <w:iCs/>
          <w:sz w:val="26"/>
          <w:szCs w:val="26"/>
          <w:lang w:eastAsia="sk-SK"/>
        </w:rPr>
      </w:pPr>
      <w:r>
        <w:rPr>
          <w:rFonts w:ascii="Times New Roman" w:hAnsi="Times New Roman" w:eastAsia="Times New Roman" w:cs="Times New Roman"/>
          <w:b/>
          <w:bCs/>
          <w:i/>
          <w:iCs/>
          <w:sz w:val="26"/>
          <w:szCs w:val="26"/>
          <w:lang w:eastAsia="sk-SK"/>
        </w:rPr>
        <w:t>Uznesenie č. 14/2025/f</w:t>
      </w:r>
    </w:p>
    <w:p w14:paraId="5A326FB9">
      <w:pPr>
        <w:spacing w:before="100" w:beforeAutospacing="1" w:after="0" w:line="240" w:lineRule="auto"/>
        <w:rPr>
          <w:rFonts w:ascii="Times New Roman" w:hAnsi="Times New Roman" w:eastAsia="Times New Roman" w:cs="Times New Roman"/>
          <w:b/>
          <w:bCs/>
          <w:i/>
          <w:iCs/>
          <w:sz w:val="26"/>
          <w:szCs w:val="26"/>
          <w:lang w:eastAsia="sk-SK"/>
        </w:rPr>
      </w:pPr>
    </w:p>
    <w:p w14:paraId="5C6C0466">
      <w:pPr>
        <w:tabs>
          <w:tab w:val="left" w:pos="0"/>
          <w:tab w:val="left" w:pos="851"/>
        </w:tabs>
        <w:spacing w:after="0" w:line="240" w:lineRule="auto"/>
        <w:jc w:val="both"/>
        <w:rPr>
          <w:rFonts w:ascii="Times New Roman" w:hAnsi="Times New Roman" w:cs="Times New Roman"/>
          <w:i/>
          <w:sz w:val="24"/>
          <w:szCs w:val="24"/>
        </w:rPr>
      </w:pPr>
      <w:r>
        <w:rPr>
          <w:rFonts w:ascii="Times New Roman" w:hAnsi="Times New Roman" w:cs="Times New Roman"/>
          <w:b/>
          <w:i/>
          <w:sz w:val="24"/>
          <w:szCs w:val="24"/>
        </w:rPr>
        <w:t>Obecného zastupiteľstvo obce Svätá Mária</w:t>
      </w:r>
    </w:p>
    <w:p w14:paraId="36F192A0">
      <w:pPr>
        <w:spacing w:after="0" w:line="240" w:lineRule="auto"/>
        <w:rPr>
          <w:rFonts w:ascii="Times New Roman" w:hAnsi="Times New Roman" w:cs="Times New Roman"/>
          <w:i/>
          <w:sz w:val="24"/>
          <w:szCs w:val="24"/>
        </w:rPr>
      </w:pPr>
    </w:p>
    <w:p w14:paraId="6C92C83C">
      <w:pPr>
        <w:spacing w:after="0" w:line="240" w:lineRule="auto"/>
        <w:jc w:val="both"/>
        <w:rPr>
          <w:rFonts w:ascii="Times New Roman" w:hAnsi="Times New Roman" w:cs="Times New Roman"/>
          <w:b/>
          <w:bCs/>
          <w:iCs/>
          <w:sz w:val="24"/>
          <w:szCs w:val="24"/>
        </w:rPr>
      </w:pPr>
      <w:r>
        <w:rPr>
          <w:rFonts w:ascii="Times New Roman" w:hAnsi="Times New Roman" w:cs="Times New Roman"/>
          <w:b/>
          <w:bCs/>
          <w:iCs/>
          <w:sz w:val="24"/>
          <w:szCs w:val="24"/>
        </w:rPr>
        <w:t xml:space="preserve">schvaľuje </w:t>
      </w:r>
    </w:p>
    <w:p w14:paraId="561883E8">
      <w:pPr>
        <w:pStyle w:val="23"/>
        <w:tabs>
          <w:tab w:val="left" w:pos="284"/>
        </w:tabs>
        <w:spacing w:after="0" w:line="240" w:lineRule="auto"/>
        <w:ind w:left="0"/>
        <w:jc w:val="both"/>
        <w:rPr>
          <w:rFonts w:ascii="Times New Roman" w:hAnsi="Times New Roman" w:cs="Times New Roman"/>
          <w:sz w:val="24"/>
          <w:szCs w:val="24"/>
        </w:rPr>
      </w:pPr>
    </w:p>
    <w:p w14:paraId="05893A85">
      <w:pPr>
        <w:tabs>
          <w:tab w:val="left" w:pos="284"/>
        </w:tabs>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podľa § 11 ods. 4  zákona SNR č. 369/1990 Zb. o obecnom zriadení v z. n. p. (ďalej len „zákon o obecnom zriadení“) v spojení s § 9 ods. 2 písm. e) zákona SNR č. 138/1991 Zb. o majetku obcí v z. n. p. (ďalej len „zákon o majetku obcí“) </w:t>
      </w:r>
    </w:p>
    <w:p w14:paraId="7C96AE9E">
      <w:pPr>
        <w:tabs>
          <w:tab w:val="left" w:pos="284"/>
        </w:tabs>
        <w:spacing w:after="0" w:line="240" w:lineRule="auto"/>
        <w:jc w:val="both"/>
        <w:rPr>
          <w:rFonts w:ascii="Times New Roman" w:hAnsi="Times New Roman" w:cs="Times New Roman"/>
          <w:b/>
          <w:bCs/>
          <w:sz w:val="24"/>
          <w:szCs w:val="24"/>
        </w:rPr>
      </w:pPr>
    </w:p>
    <w:p w14:paraId="3BB5ED58">
      <w:pPr>
        <w:shd w:val="clear" w:color="auto" w:fill="FFFFFF" w:themeFill="background1"/>
        <w:tabs>
          <w:tab w:val="left" w:pos="567"/>
        </w:tabs>
        <w:spacing w:after="0" w:line="240" w:lineRule="auto"/>
        <w:ind w:firstLine="284"/>
        <w:jc w:val="both"/>
        <w:rPr>
          <w:rFonts w:ascii="Times New Roman" w:hAnsi="Times New Roman" w:cs="Times New Roman"/>
          <w:sz w:val="24"/>
          <w:szCs w:val="24"/>
        </w:rPr>
      </w:pPr>
      <w:r>
        <w:rPr>
          <w:rFonts w:ascii="Times New Roman" w:hAnsi="Times New Roman" w:cs="Times New Roman"/>
          <w:b/>
          <w:bCs/>
          <w:iCs/>
          <w:sz w:val="24"/>
          <w:szCs w:val="24"/>
        </w:rPr>
        <w:t xml:space="preserve">nakladanie s majetkovými právami pri nákupe dlhopisov </w:t>
      </w:r>
      <w:r>
        <w:rPr>
          <w:rFonts w:ascii="Times New Roman" w:hAnsi="Times New Roman" w:cs="Times New Roman"/>
          <w:sz w:val="24"/>
          <w:szCs w:val="24"/>
        </w:rPr>
        <w:t xml:space="preserve">Voda Spieva I. emitovaných Východoslovenskou vodárenskou spoločnosťou, a. s., IČO: 36 570 460, so sídlom Komenského 50, 042 48 Košice, zapísanej v OR Mestského súdu Košice, Oddiel: Sa, Vložka číslo: 1243/V </w:t>
      </w:r>
      <w:r>
        <w:rPr>
          <w:rFonts w:ascii="Times New Roman" w:hAnsi="Times New Roman" w:cs="Times New Roman"/>
          <w:i/>
          <w:iCs/>
          <w:sz w:val="24"/>
          <w:szCs w:val="24"/>
        </w:rPr>
        <w:t>(ďalej len „VVS, a. s.“)</w:t>
      </w:r>
      <w:r>
        <w:rPr>
          <w:rFonts w:ascii="Times New Roman" w:hAnsi="Times New Roman" w:cs="Times New Roman"/>
          <w:sz w:val="24"/>
          <w:szCs w:val="24"/>
        </w:rPr>
        <w:t xml:space="preserve"> vydané podľa slovenského práva s pevným úrokovým výnosom vo výške 6,00 % p. a. vo forme na meno, v zaknihovanej podobe, v menovitej hodnote 13,28,- € </w:t>
      </w:r>
      <w:r>
        <w:rPr>
          <w:rFonts w:ascii="Times New Roman" w:hAnsi="Times New Roman" w:cs="Times New Roman"/>
          <w:i/>
          <w:iCs/>
          <w:sz w:val="24"/>
          <w:szCs w:val="24"/>
        </w:rPr>
        <w:t>(slovom trinásť eur dvadsaťosem centov)</w:t>
      </w:r>
      <w:r>
        <w:rPr>
          <w:rFonts w:ascii="Times New Roman" w:hAnsi="Times New Roman" w:cs="Times New Roman"/>
          <w:sz w:val="24"/>
          <w:szCs w:val="24"/>
        </w:rPr>
        <w:t xml:space="preserve">, splatné v roku 2044, s právom predčasného splatenia zo strany emitenta počnúc rokom 2034, ISIN: SK4000023198 </w:t>
      </w:r>
      <w:r>
        <w:rPr>
          <w:rFonts w:ascii="Times New Roman" w:hAnsi="Times New Roman" w:cs="Times New Roman"/>
          <w:i/>
          <w:iCs/>
          <w:sz w:val="24"/>
          <w:szCs w:val="24"/>
        </w:rPr>
        <w:t>(ďalej aj „dlhopisy“)</w:t>
      </w:r>
      <w:r>
        <w:rPr>
          <w:rFonts w:ascii="Times New Roman" w:hAnsi="Times New Roman" w:cs="Times New Roman"/>
          <w:sz w:val="24"/>
          <w:szCs w:val="24"/>
        </w:rPr>
        <w:t xml:space="preserve"> za upisovaciu/kúpnu cenu v celkovej sume 48 777,44,- € </w:t>
      </w:r>
      <w:r>
        <w:rPr>
          <w:rFonts w:ascii="Times New Roman" w:hAnsi="Times New Roman" w:cs="Times New Roman"/>
          <w:i/>
          <w:iCs/>
          <w:sz w:val="24"/>
          <w:szCs w:val="24"/>
        </w:rPr>
        <w:t>(slovom: štyridsaťosemtisícsedemstosedemdesiatsedem eur a štyridsaťštyri eurocentov)</w:t>
      </w:r>
      <w:r>
        <w:rPr>
          <w:rFonts w:ascii="Times New Roman" w:hAnsi="Times New Roman" w:cs="Times New Roman"/>
          <w:sz w:val="24"/>
          <w:szCs w:val="24"/>
        </w:rPr>
        <w:t>.  Nákup dlhopisov podľa predchádzajúcej vety bude uskutočnený medzi obcou Svätá Mária</w:t>
      </w:r>
      <w:r>
        <w:rPr>
          <w:rFonts w:ascii="Times New Roman" w:hAnsi="Times New Roman" w:cs="Times New Roman"/>
          <w:i/>
          <w:iCs/>
          <w:sz w:val="24"/>
          <w:szCs w:val="24"/>
        </w:rPr>
        <w:t xml:space="preserve"> (ďalej len „obec“)</w:t>
      </w:r>
      <w:r>
        <w:rPr>
          <w:rFonts w:ascii="Times New Roman" w:hAnsi="Times New Roman" w:cs="Times New Roman"/>
          <w:sz w:val="24"/>
          <w:szCs w:val="24"/>
        </w:rPr>
        <w:t xml:space="preserve"> ako kupujúcim a vybraným účastníkom obchodnej verejnej súťaže na prevod akcií obce v obchodnej spoločnosti VVS, a. s. ako predávajúcim v deň uzatvorenia zmluvy o prevode akcií </w:t>
      </w:r>
      <w:r>
        <w:rPr>
          <w:rFonts w:ascii="Times New Roman" w:hAnsi="Times New Roman" w:cs="Times New Roman"/>
          <w:i/>
          <w:iCs/>
          <w:sz w:val="24"/>
          <w:szCs w:val="24"/>
        </w:rPr>
        <w:t>(ďalej len „zmluva o prevode akcií“)</w:t>
      </w:r>
      <w:r>
        <w:rPr>
          <w:rFonts w:ascii="Times New Roman" w:hAnsi="Times New Roman" w:cs="Times New Roman"/>
          <w:sz w:val="24"/>
          <w:szCs w:val="24"/>
        </w:rPr>
        <w:t>. Zmluva o prevode akcií podľa predchádzajúcej vety je výsledkom obchodnej verejnej súťaže, ktorej podmienky boli predmetom schvaľovania Obecným zastupiteľstvom obce Svätá Mária, a to uznesením č. 14/2025/d zo zasadnutia konaného 23.06.2025.</w:t>
      </w:r>
    </w:p>
    <w:p w14:paraId="4D5F0BE1">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Zmluva o úpise dlhopisov nadobúda platnosť dňom jej podpisu zmluvnými stranami a účinnosť dňom nasledujúcim po dni jej zverejnenia, nie však skôr ako predávajúci (v postavení vybraného účastníka súťaže) uhradí celú kúpnu cenu za prevod akcií podľa zmluvy o prevode akcií a to za predpokladu, že finančné krytie na úpis dlhopisov obec získava z inkasa kúpnej ceny za predaj akcií emitenta VVS, a. s.</w:t>
      </w:r>
    </w:p>
    <w:p w14:paraId="26C61D0C">
      <w:pPr>
        <w:spacing w:after="0" w:line="240" w:lineRule="auto"/>
        <w:ind w:firstLine="284"/>
        <w:jc w:val="both"/>
        <w:rPr>
          <w:rFonts w:ascii="Times New Roman" w:hAnsi="Times New Roman" w:cs="Times New Roman"/>
          <w:sz w:val="24"/>
          <w:szCs w:val="24"/>
        </w:rPr>
      </w:pPr>
    </w:p>
    <w:p w14:paraId="5EF083A1">
      <w:pPr>
        <w:spacing w:before="100" w:beforeAutospacing="1" w:after="0" w:line="240" w:lineRule="auto"/>
        <w:rPr>
          <w:rFonts w:ascii="Times New Roman" w:hAnsi="Times New Roman" w:eastAsia="Times New Roman" w:cs="Times New Roman"/>
          <w:b/>
          <w:bCs/>
          <w:i/>
          <w:iCs/>
          <w:sz w:val="26"/>
          <w:szCs w:val="26"/>
          <w:lang w:eastAsia="sk-SK"/>
        </w:rPr>
      </w:pPr>
      <w:r>
        <w:rPr>
          <w:rFonts w:ascii="Times New Roman" w:hAnsi="Times New Roman" w:eastAsia="Times New Roman" w:cs="Times New Roman"/>
          <w:b/>
          <w:bCs/>
          <w:i/>
          <w:iCs/>
          <w:sz w:val="26"/>
          <w:szCs w:val="26"/>
          <w:lang w:eastAsia="sk-SK"/>
        </w:rPr>
        <w:t>Uznesenie č. 14/2025/g</w:t>
      </w:r>
    </w:p>
    <w:p w14:paraId="35ADDFE5">
      <w:pPr>
        <w:jc w:val="both"/>
        <w:rPr>
          <w:rFonts w:ascii="Times New Roman" w:hAnsi="Times New Roman" w:cs="Times New Roman"/>
          <w:u w:val="single"/>
        </w:rPr>
      </w:pPr>
    </w:p>
    <w:p w14:paraId="51145E25">
      <w:pPr>
        <w:jc w:val="both"/>
        <w:rPr>
          <w:rFonts w:ascii="Times New Roman" w:hAnsi="Times New Roman" w:cs="Times New Roman"/>
          <w:sz w:val="24"/>
          <w:szCs w:val="24"/>
        </w:rPr>
      </w:pPr>
      <w:r>
        <w:rPr>
          <w:rFonts w:ascii="Times New Roman" w:hAnsi="Times New Roman" w:cs="Times New Roman"/>
          <w:sz w:val="24"/>
          <w:szCs w:val="24"/>
        </w:rPr>
        <w:t>Obecné zastupiteľstvo obce Svätá Mária</w:t>
      </w:r>
    </w:p>
    <w:p w14:paraId="156C89B6">
      <w:pPr>
        <w:jc w:val="both"/>
        <w:rPr>
          <w:rFonts w:ascii="Times New Roman" w:hAnsi="Times New Roman" w:cs="Times New Roman"/>
          <w:b/>
          <w:bCs/>
          <w:sz w:val="24"/>
          <w:szCs w:val="24"/>
        </w:rPr>
      </w:pPr>
      <w:r>
        <w:rPr>
          <w:rFonts w:ascii="Times New Roman" w:hAnsi="Times New Roman" w:cs="Times New Roman"/>
          <w:b/>
          <w:bCs/>
          <w:sz w:val="24"/>
          <w:szCs w:val="24"/>
        </w:rPr>
        <w:t>schvaľuje</w:t>
      </w:r>
    </w:p>
    <w:p w14:paraId="7FEBBD8A">
      <w:pPr>
        <w:jc w:val="both"/>
        <w:rPr>
          <w:rFonts w:ascii="Times New Roman" w:hAnsi="Times New Roman" w:cs="Times New Roman"/>
          <w:sz w:val="24"/>
          <w:szCs w:val="24"/>
        </w:rPr>
      </w:pPr>
      <w:r>
        <w:rPr>
          <w:rFonts w:ascii="Times New Roman" w:hAnsi="Times New Roman" w:cs="Times New Roman"/>
          <w:sz w:val="24"/>
          <w:szCs w:val="24"/>
        </w:rPr>
        <w:t>zmenu rozpočtu obce Svätá Mária na rok 2025 Rozpočtovým opatrením č. 1 v predloženom znení.</w:t>
      </w:r>
    </w:p>
    <w:p w14:paraId="2F26F1E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7808F27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0419D91F">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6EAB3D52">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4</w:t>
            </w:r>
          </w:p>
          <w:p w14:paraId="3A5C626F">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0539088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 Fučková, Horóckyová Valéria , PhDr.,MPH , J. Kováč, , P. Zelenáková</w:t>
            </w:r>
          </w:p>
        </w:tc>
      </w:tr>
      <w:tr w14:paraId="4F9B2AC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0A4AADC1">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6DF8759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1</w:t>
            </w:r>
          </w:p>
        </w:tc>
        <w:tc>
          <w:tcPr>
            <w:tcW w:w="3250" w:type="pct"/>
            <w:tcBorders>
              <w:top w:val="outset" w:color="000000" w:sz="6" w:space="0"/>
              <w:left w:val="outset" w:color="000000" w:sz="6" w:space="0"/>
              <w:bottom w:val="outset" w:color="000000" w:sz="6" w:space="0"/>
              <w:right w:val="outset" w:color="000000" w:sz="6" w:space="0"/>
            </w:tcBorders>
          </w:tcPr>
          <w:p w14:paraId="6FC40FB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Š. Zselenák</w:t>
            </w:r>
          </w:p>
        </w:tc>
      </w:tr>
      <w:tr w14:paraId="0D92C90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0EC60684">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5DF4BC16">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10E0726F">
            <w:pPr>
              <w:spacing w:before="100" w:beforeAutospacing="1" w:after="0" w:line="240" w:lineRule="auto"/>
              <w:rPr>
                <w:rFonts w:ascii="Times New Roman" w:hAnsi="Times New Roman" w:eastAsia="Times New Roman" w:cs="Times New Roman"/>
                <w:sz w:val="24"/>
                <w:szCs w:val="24"/>
                <w:lang w:eastAsia="sk-SK"/>
              </w:rPr>
            </w:pPr>
          </w:p>
        </w:tc>
      </w:tr>
      <w:tr w14:paraId="07B5DA8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rHeight w:val="127" w:hRule="atLeast"/>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53367D3D">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6C6F5E61">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2</w:t>
            </w:r>
          </w:p>
        </w:tc>
        <w:tc>
          <w:tcPr>
            <w:tcW w:w="3250" w:type="pct"/>
            <w:tcBorders>
              <w:top w:val="outset" w:color="000000" w:sz="6" w:space="0"/>
              <w:left w:val="outset" w:color="000000" w:sz="6" w:space="0"/>
              <w:bottom w:val="outset" w:color="000000" w:sz="6" w:space="0"/>
              <w:right w:val="outset" w:color="000000" w:sz="6" w:space="0"/>
            </w:tcBorders>
          </w:tcPr>
          <w:p w14:paraId="0784AB8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668D172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4DBE102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i/>
          <w:iCs/>
          <w:sz w:val="24"/>
          <w:szCs w:val="24"/>
          <w:lang w:eastAsia="sk-SK"/>
        </w:rPr>
        <w:t>V Svätej Márii, dňa: ….....................................</w:t>
      </w:r>
    </w:p>
    <w:p w14:paraId="467FC7F6">
      <w:pPr>
        <w:jc w:val="both"/>
        <w:rPr>
          <w:rFonts w:ascii="Times New Roman" w:hAnsi="Times New Roman" w:cs="Times New Roman"/>
          <w:sz w:val="24"/>
          <w:szCs w:val="24"/>
        </w:rPr>
      </w:pPr>
    </w:p>
    <w:p w14:paraId="3721E4DF">
      <w:pPr>
        <w:spacing w:before="100" w:beforeAutospacing="1" w:after="0" w:line="240" w:lineRule="auto"/>
        <w:rPr>
          <w:rFonts w:ascii="Times New Roman" w:hAnsi="Times New Roman" w:eastAsia="Times New Roman" w:cs="Times New Roman"/>
          <w:b/>
          <w:bCs/>
          <w:i/>
          <w:iCs/>
          <w:sz w:val="26"/>
          <w:szCs w:val="26"/>
          <w:lang w:eastAsia="sk-SK"/>
        </w:rPr>
      </w:pPr>
      <w:r>
        <w:rPr>
          <w:rFonts w:ascii="Times New Roman" w:hAnsi="Times New Roman" w:eastAsia="Times New Roman" w:cs="Times New Roman"/>
          <w:b/>
          <w:bCs/>
          <w:i/>
          <w:iCs/>
          <w:sz w:val="26"/>
          <w:szCs w:val="26"/>
          <w:lang w:eastAsia="sk-SK"/>
        </w:rPr>
        <w:t>Uznesenie č. 14/2025/h</w:t>
      </w:r>
    </w:p>
    <w:p w14:paraId="4DB4C238">
      <w:pPr>
        <w:spacing w:before="100" w:beforeAutospacing="1" w:after="0" w:line="240" w:lineRule="auto"/>
        <w:rPr>
          <w:rFonts w:ascii="Times New Roman" w:hAnsi="Times New Roman" w:eastAsia="Times New Roman" w:cs="Times New Roman"/>
          <w:b/>
          <w:bCs/>
          <w:i/>
          <w:iCs/>
          <w:sz w:val="26"/>
          <w:szCs w:val="26"/>
          <w:lang w:eastAsia="sk-SK"/>
        </w:rPr>
      </w:pPr>
    </w:p>
    <w:p w14:paraId="0ADF6D44">
      <w:pPr>
        <w:tabs>
          <w:tab w:val="left" w:pos="0"/>
          <w:tab w:val="left" w:pos="851"/>
        </w:tabs>
        <w:spacing w:after="0" w:line="240" w:lineRule="auto"/>
        <w:jc w:val="both"/>
        <w:rPr>
          <w:rFonts w:ascii="Times New Roman" w:hAnsi="Times New Roman" w:cs="Times New Roman"/>
          <w:i/>
          <w:sz w:val="24"/>
          <w:szCs w:val="24"/>
        </w:rPr>
      </w:pPr>
      <w:r>
        <w:rPr>
          <w:rFonts w:ascii="Times New Roman" w:hAnsi="Times New Roman" w:cs="Times New Roman"/>
          <w:b/>
          <w:i/>
          <w:sz w:val="24"/>
          <w:szCs w:val="24"/>
        </w:rPr>
        <w:t>Obecné zastupiteľstvo obce Svätá Mária</w:t>
      </w:r>
    </w:p>
    <w:p w14:paraId="386F89B1">
      <w:pPr>
        <w:tabs>
          <w:tab w:val="left" w:pos="0"/>
          <w:tab w:val="left" w:pos="851"/>
        </w:tabs>
        <w:spacing w:after="0" w:line="240" w:lineRule="auto"/>
        <w:jc w:val="both"/>
        <w:rPr>
          <w:rFonts w:ascii="Times New Roman" w:hAnsi="Times New Roman" w:cs="Times New Roman"/>
          <w:i/>
          <w:sz w:val="24"/>
          <w:szCs w:val="24"/>
        </w:rPr>
      </w:pPr>
    </w:p>
    <w:p w14:paraId="2A0229C9">
      <w:pPr>
        <w:spacing w:after="0" w:line="240" w:lineRule="auto"/>
        <w:jc w:val="both"/>
        <w:rPr>
          <w:rFonts w:ascii="Times New Roman" w:hAnsi="Times New Roman" w:cs="Times New Roman"/>
          <w:b/>
          <w:bCs/>
          <w:iCs/>
          <w:sz w:val="24"/>
          <w:szCs w:val="24"/>
        </w:rPr>
      </w:pPr>
      <w:r>
        <w:rPr>
          <w:rFonts w:ascii="Times New Roman" w:hAnsi="Times New Roman" w:cs="Times New Roman"/>
          <w:b/>
          <w:bCs/>
          <w:iCs/>
          <w:sz w:val="24"/>
          <w:szCs w:val="24"/>
        </w:rPr>
        <w:t xml:space="preserve">schvaľuje </w:t>
      </w:r>
    </w:p>
    <w:p w14:paraId="3009DFBC">
      <w:pPr>
        <w:spacing w:after="0" w:line="240" w:lineRule="auto"/>
        <w:jc w:val="both"/>
        <w:rPr>
          <w:rFonts w:ascii="Times New Roman" w:hAnsi="Times New Roman" w:cs="Times New Roman"/>
          <w:b/>
          <w:bCs/>
          <w:iCs/>
          <w:sz w:val="24"/>
          <w:szCs w:val="24"/>
        </w:rPr>
      </w:pPr>
    </w:p>
    <w:p w14:paraId="05D8EF5D">
      <w:pPr>
        <w:tabs>
          <w:tab w:val="left" w:pos="0"/>
          <w:tab w:val="left" w:pos="851"/>
        </w:tabs>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podľa § 11 ods. 4 zákona SNR č. 369/1990 Zb. o obecnom zriadení v z. n. p. (ďalej len „zákon o obecnom zriadení“)</w:t>
      </w:r>
    </w:p>
    <w:p w14:paraId="6E6381DF">
      <w:pPr>
        <w:tabs>
          <w:tab w:val="left" w:pos="0"/>
          <w:tab w:val="left" w:pos="851"/>
        </w:tabs>
        <w:spacing w:after="0" w:line="240" w:lineRule="auto"/>
        <w:jc w:val="both"/>
        <w:rPr>
          <w:rFonts w:ascii="Times New Roman" w:hAnsi="Times New Roman" w:cs="Times New Roman"/>
          <w:i/>
          <w:sz w:val="24"/>
          <w:szCs w:val="24"/>
        </w:rPr>
      </w:pPr>
    </w:p>
    <w:p w14:paraId="7A7A45F7">
      <w:pPr>
        <w:shd w:val="clear" w:color="auto" w:fill="FFFFFF" w:themeFill="background1"/>
        <w:tabs>
          <w:tab w:val="left" w:pos="567"/>
        </w:tabs>
        <w:spacing w:after="0" w:line="240" w:lineRule="auto"/>
        <w:ind w:firstLine="284"/>
        <w:jc w:val="both"/>
        <w:rPr>
          <w:rFonts w:ascii="Times New Roman" w:hAnsi="Times New Roman" w:cs="Times New Roman"/>
          <w:sz w:val="24"/>
          <w:szCs w:val="24"/>
        </w:rPr>
      </w:pPr>
      <w:r>
        <w:rPr>
          <w:rFonts w:ascii="Times New Roman" w:hAnsi="Times New Roman" w:cs="Times New Roman"/>
          <w:iCs/>
          <w:sz w:val="24"/>
          <w:szCs w:val="24"/>
        </w:rPr>
        <w:t xml:space="preserve">záväzok obce, založený zmluvou o prevode akcií </w:t>
      </w:r>
      <w:r>
        <w:rPr>
          <w:rFonts w:ascii="Times New Roman" w:hAnsi="Times New Roman" w:cs="Times New Roman"/>
          <w:i/>
          <w:sz w:val="24"/>
          <w:szCs w:val="24"/>
        </w:rPr>
        <w:t>(ďalej aj „zmluva o prevode akcií“)</w:t>
      </w:r>
      <w:r>
        <w:rPr>
          <w:rFonts w:ascii="Times New Roman" w:hAnsi="Times New Roman" w:cs="Times New Roman"/>
          <w:iCs/>
          <w:sz w:val="24"/>
          <w:szCs w:val="24"/>
        </w:rPr>
        <w:t xml:space="preserve"> medzi obcou ako predávajúcim </w:t>
      </w:r>
      <w:r>
        <w:rPr>
          <w:rFonts w:ascii="Times New Roman" w:hAnsi="Times New Roman" w:cs="Times New Roman"/>
          <w:i/>
          <w:sz w:val="24"/>
          <w:szCs w:val="24"/>
        </w:rPr>
        <w:t>(ďalej len „obec“)</w:t>
      </w:r>
      <w:r>
        <w:rPr>
          <w:rFonts w:ascii="Times New Roman" w:hAnsi="Times New Roman" w:cs="Times New Roman"/>
          <w:iCs/>
          <w:sz w:val="24"/>
          <w:szCs w:val="24"/>
        </w:rPr>
        <w:t xml:space="preserve"> a vybraným účastníkom (kupujúcim) </w:t>
      </w:r>
      <w:r>
        <w:rPr>
          <w:rFonts w:ascii="Times New Roman" w:hAnsi="Times New Roman" w:cs="Times New Roman"/>
          <w:i/>
          <w:sz w:val="24"/>
          <w:szCs w:val="24"/>
        </w:rPr>
        <w:t>(ďalej len „vybraný účastník“)</w:t>
      </w:r>
      <w:r>
        <w:rPr>
          <w:rFonts w:ascii="Times New Roman" w:hAnsi="Times New Roman" w:cs="Times New Roman"/>
          <w:iCs/>
          <w:sz w:val="24"/>
          <w:szCs w:val="24"/>
        </w:rPr>
        <w:t xml:space="preserve"> v obchodnej verejnej súťaži na prevod akcií obce v obchodnej spoločnosti </w:t>
      </w:r>
      <w:r>
        <w:rPr>
          <w:rFonts w:ascii="Times New Roman" w:hAnsi="Times New Roman" w:cs="Times New Roman"/>
          <w:sz w:val="24"/>
          <w:szCs w:val="24"/>
        </w:rPr>
        <w:t xml:space="preserve">Východoslovenská vodárenská spoločnosť, a. s., IČO: 36 570 460, so sídlom Komenského 50, 042 48 Košice, zapísanej v OR Mestského súdu Košice, Oddiel: Sa, Vložka číslo: 1243/V </w:t>
      </w:r>
      <w:r>
        <w:rPr>
          <w:rFonts w:ascii="Times New Roman" w:hAnsi="Times New Roman" w:cs="Times New Roman"/>
          <w:i/>
          <w:iCs/>
          <w:sz w:val="24"/>
          <w:szCs w:val="24"/>
        </w:rPr>
        <w:t xml:space="preserve">(ďalej len „VVS, a. s.“) </w:t>
      </w:r>
      <w:r>
        <w:rPr>
          <w:rFonts w:ascii="Times New Roman" w:hAnsi="Times New Roman" w:cs="Times New Roman"/>
          <w:sz w:val="24"/>
          <w:szCs w:val="24"/>
        </w:rPr>
        <w:t xml:space="preserve">ako vedľajšie dojednanie podľa § 610 a nasl. zákona č. 40/1964 Zb. Občiansky zákonník v z. n. p. </w:t>
      </w:r>
      <w:r>
        <w:rPr>
          <w:rFonts w:ascii="Times New Roman" w:hAnsi="Times New Roman" w:cs="Times New Roman"/>
          <w:i/>
          <w:iCs/>
          <w:sz w:val="24"/>
          <w:szCs w:val="24"/>
        </w:rPr>
        <w:t>(ďalej len „Občiansky zákonník“)</w:t>
      </w:r>
      <w:r>
        <w:rPr>
          <w:rFonts w:ascii="Times New Roman" w:hAnsi="Times New Roman" w:cs="Times New Roman"/>
          <w:sz w:val="24"/>
          <w:szCs w:val="24"/>
        </w:rPr>
        <w:t>. Zmluva o prevode akcií podľa predchádzajúcej vety je výsledkom obchodnej verejnej súťaže, ktorej podmienky boli predmetom schvaľovania Obecným zastupiteľstvom obce Svätá Mária, a to uznesením č. 14/2025/d zo zasadnutia konaného 23.06.2025</w:t>
      </w:r>
      <w:r>
        <w:rPr>
          <w:rFonts w:ascii="Times New Roman" w:hAnsi="Times New Roman" w:cs="Times New Roman"/>
          <w:i/>
          <w:iCs/>
          <w:sz w:val="24"/>
          <w:szCs w:val="24"/>
        </w:rPr>
        <w:t xml:space="preserve"> (ďalej aj „obchodná verejná súťaž“)</w:t>
      </w:r>
      <w:r>
        <w:rPr>
          <w:rFonts w:ascii="Times New Roman" w:hAnsi="Times New Roman" w:cs="Times New Roman"/>
          <w:sz w:val="24"/>
          <w:szCs w:val="24"/>
        </w:rPr>
        <w:t xml:space="preserve">. Záväzok obce, založený zmluvou o prevode akcií, vyplýva z dojednania </w:t>
      </w:r>
      <w:r>
        <w:rPr>
          <w:rFonts w:ascii="Times New Roman" w:hAnsi="Times New Roman" w:cs="Times New Roman"/>
          <w:iCs/>
          <w:sz w:val="24"/>
          <w:szCs w:val="24"/>
        </w:rPr>
        <w:t xml:space="preserve">Put opcie, oprávnenia požadovať spätný prevod akcií, zo strany </w:t>
      </w:r>
      <w:r>
        <w:rPr>
          <w:rFonts w:ascii="Times New Roman" w:hAnsi="Times New Roman" w:cs="Times New Roman"/>
          <w:sz w:val="24"/>
          <w:szCs w:val="24"/>
        </w:rPr>
        <w:t xml:space="preserve">vybraného účastníka </w:t>
      </w:r>
      <w:r>
        <w:rPr>
          <w:rFonts w:ascii="Times New Roman" w:hAnsi="Times New Roman" w:cs="Times New Roman"/>
          <w:i/>
          <w:iCs/>
          <w:sz w:val="24"/>
          <w:szCs w:val="24"/>
        </w:rPr>
        <w:t>(ďalej aj „Put opcia“)</w:t>
      </w:r>
      <w:r>
        <w:rPr>
          <w:rFonts w:ascii="Times New Roman" w:hAnsi="Times New Roman" w:cs="Times New Roman"/>
          <w:sz w:val="24"/>
          <w:szCs w:val="24"/>
        </w:rPr>
        <w:t xml:space="preserve">. Vybraný účastník súťaže má výlučné a neodvolateľné právo požadovať spätný predaj obci, a teda spätné odkúpenie zo strany obce, všetkých akcií, ktoré sú predmetom zmluvy o prevode akcií, vrátane všetkých práv s nimi spojených </w:t>
      </w:r>
      <w:r>
        <w:rPr>
          <w:rFonts w:ascii="Times New Roman" w:hAnsi="Times New Roman" w:cs="Times New Roman"/>
          <w:i/>
          <w:iCs/>
          <w:sz w:val="24"/>
          <w:szCs w:val="24"/>
        </w:rPr>
        <w:t>(ďalej aj „opčné právo“)</w:t>
      </w:r>
      <w:r>
        <w:rPr>
          <w:rFonts w:ascii="Times New Roman" w:hAnsi="Times New Roman" w:cs="Times New Roman"/>
          <w:sz w:val="24"/>
          <w:szCs w:val="24"/>
        </w:rPr>
        <w:t xml:space="preserve">. Predmetom opčného dojednania podľa predchádzajúcej vety je 3673 kusov </w:t>
      </w:r>
      <w:r>
        <w:rPr>
          <w:rFonts w:ascii="Times New Roman" w:hAnsi="Times New Roman" w:cs="Times New Roman"/>
          <w:i/>
          <w:iCs/>
          <w:sz w:val="24"/>
          <w:szCs w:val="24"/>
        </w:rPr>
        <w:t xml:space="preserve">(slovom: tritisícšesťstosedemdesiattri) </w:t>
      </w:r>
      <w:r>
        <w:rPr>
          <w:rFonts w:ascii="Times New Roman" w:hAnsi="Times New Roman" w:cs="Times New Roman"/>
          <w:sz w:val="24"/>
          <w:szCs w:val="24"/>
        </w:rPr>
        <w:t xml:space="preserve">kmeňových listinných akcií na meno, ktoré môžu byť nahradené jednou alebo viacerými hromadnými akciami vybraného účastníka, pričom môže ísť aj o hromadnú akciu série B </w:t>
      </w:r>
      <w:r>
        <w:rPr>
          <w:rFonts w:ascii="Times New Roman" w:hAnsi="Times New Roman" w:cs="Times New Roman"/>
          <w:i/>
          <w:iCs/>
          <w:sz w:val="24"/>
          <w:szCs w:val="24"/>
        </w:rPr>
        <w:t>(ďalej aj „opčné akcie“)</w:t>
      </w:r>
      <w:r>
        <w:rPr>
          <w:rFonts w:ascii="Times New Roman" w:hAnsi="Times New Roman" w:cs="Times New Roman"/>
          <w:sz w:val="24"/>
          <w:szCs w:val="24"/>
        </w:rPr>
        <w:t>, nezaťažené akýmikoľvek právami tretích osôb. Opčnému právu vybraného účastníka zodpovedá povinnosť obce tieto opčné akcie späť odkúpiť, prevziať a zaplatiť kúpnu cenu. Vybraný účastník súťaže môže uplatniť Put opciu len vo vzťahu ku všetkým akciám, ktoré sú predmetom zmluvy o prevode akcií, a nielen vo vzťahu k niektorým z nich. Celková kúpna cena za opčné akcie bude určená ako násobok kúpnej ceny za 1</w:t>
      </w:r>
      <w:r>
        <w:rPr>
          <w:rFonts w:ascii="Times New Roman" w:hAnsi="Times New Roman" w:cs="Times New Roman"/>
          <w:i/>
          <w:iCs/>
          <w:sz w:val="24"/>
          <w:szCs w:val="24"/>
        </w:rPr>
        <w:t xml:space="preserve"> (slovom jednu)</w:t>
      </w:r>
      <w:r>
        <w:rPr>
          <w:rFonts w:ascii="Times New Roman" w:hAnsi="Times New Roman" w:cs="Times New Roman"/>
          <w:sz w:val="24"/>
          <w:szCs w:val="24"/>
        </w:rPr>
        <w:t xml:space="preserve"> jednotlivo určenú akciu a celkového počtu jednotlivo prevádzaných akcií, a to bez ohľadu na to, či sa ako výsledok súťaže prevádza hromadná akcia, ktorá ich nahrádza, alebo jednotlivé akcie, pričom táto kúpna cena sa rovná súhrnnej kúpnej cene navrhnutej vybraným účastníkom podľa písm. c) bodu 8 Oddielu B podmienok obchodnej verejnej súťaže. Kúpna cena za opčné akcie je fixná a nemenná. </w:t>
      </w:r>
    </w:p>
    <w:p w14:paraId="3FDAFB9B">
      <w:pPr>
        <w:pStyle w:val="23"/>
        <w:tabs>
          <w:tab w:val="left" w:pos="0"/>
          <w:tab w:val="left" w:pos="284"/>
        </w:tabs>
        <w:spacing w:after="0" w:line="240" w:lineRule="auto"/>
        <w:ind w:left="0" w:firstLine="284"/>
        <w:jc w:val="both"/>
        <w:rPr>
          <w:rFonts w:ascii="Times New Roman" w:hAnsi="Times New Roman" w:cs="Times New Roman"/>
          <w:sz w:val="24"/>
          <w:szCs w:val="24"/>
        </w:rPr>
      </w:pPr>
    </w:p>
    <w:p w14:paraId="4EF35248">
      <w:pPr>
        <w:pStyle w:val="23"/>
        <w:tabs>
          <w:tab w:val="left" w:pos="0"/>
          <w:tab w:val="left" w:pos="284"/>
        </w:tabs>
        <w:spacing w:after="0" w:line="240" w:lineRule="auto"/>
        <w:ind w:left="0" w:firstLine="284"/>
        <w:jc w:val="both"/>
        <w:rPr>
          <w:rFonts w:ascii="Times New Roman" w:hAnsi="Times New Roman" w:cs="Times New Roman"/>
          <w:sz w:val="24"/>
          <w:szCs w:val="24"/>
        </w:rPr>
      </w:pPr>
      <w:r>
        <w:rPr>
          <w:rFonts w:ascii="Times New Roman" w:hAnsi="Times New Roman" w:cs="Times New Roman"/>
          <w:sz w:val="24"/>
          <w:szCs w:val="24"/>
        </w:rPr>
        <w:t xml:space="preserve">Uplatnenie Put opcie bude účinné okamihom oznámenia o uplatnení Put opcie zo strany vybraného účastníka obci. Na účinné uplatnenie Put opcie sa nevyžaduje uzatvorenie samostatnej zmluvy o prevode opčných akcií (pokiaľ to bude nevyhnutné v zmysle právnych predpisov účinných v čase realizácie Put opcie), keďže Put opcia je dojednaná ako vedľajšie dojednanie k zmluve o prevode akcií. </w:t>
      </w:r>
    </w:p>
    <w:p w14:paraId="0F7E91F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396573E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05B29CDB">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3038352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4</w:t>
            </w:r>
          </w:p>
          <w:p w14:paraId="775C10D3">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21FE71E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 Fučková, Horóckyová Valéria , PhDr.,MPH , J. Kováč, , P. Zelenáková</w:t>
            </w:r>
          </w:p>
        </w:tc>
      </w:tr>
      <w:tr w14:paraId="3B8C20E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041D3B5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707A563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1</w:t>
            </w:r>
          </w:p>
        </w:tc>
        <w:tc>
          <w:tcPr>
            <w:tcW w:w="3250" w:type="pct"/>
            <w:tcBorders>
              <w:top w:val="outset" w:color="000000" w:sz="6" w:space="0"/>
              <w:left w:val="outset" w:color="000000" w:sz="6" w:space="0"/>
              <w:bottom w:val="outset" w:color="000000" w:sz="6" w:space="0"/>
              <w:right w:val="outset" w:color="000000" w:sz="6" w:space="0"/>
            </w:tcBorders>
          </w:tcPr>
          <w:p w14:paraId="20496A9F">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Š. Zselenák</w:t>
            </w:r>
          </w:p>
        </w:tc>
      </w:tr>
      <w:tr w14:paraId="42093D1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09D791F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2E078C38">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729B11DD">
            <w:pPr>
              <w:spacing w:before="100" w:beforeAutospacing="1" w:after="0" w:line="240" w:lineRule="auto"/>
              <w:rPr>
                <w:rFonts w:ascii="Times New Roman" w:hAnsi="Times New Roman" w:eastAsia="Times New Roman" w:cs="Times New Roman"/>
                <w:sz w:val="24"/>
                <w:szCs w:val="24"/>
                <w:lang w:eastAsia="sk-SK"/>
              </w:rPr>
            </w:pPr>
          </w:p>
        </w:tc>
      </w:tr>
      <w:tr w14:paraId="3815041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rHeight w:val="127" w:hRule="atLeast"/>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7779E4F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1A528FE2">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2</w:t>
            </w:r>
          </w:p>
        </w:tc>
        <w:tc>
          <w:tcPr>
            <w:tcW w:w="3250" w:type="pct"/>
            <w:tcBorders>
              <w:top w:val="outset" w:color="000000" w:sz="6" w:space="0"/>
              <w:left w:val="outset" w:color="000000" w:sz="6" w:space="0"/>
              <w:bottom w:val="outset" w:color="000000" w:sz="6" w:space="0"/>
              <w:right w:val="outset" w:color="000000" w:sz="6" w:space="0"/>
            </w:tcBorders>
          </w:tcPr>
          <w:p w14:paraId="6C66A00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194B4D1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78D81CB3">
      <w:pPr>
        <w:spacing w:before="100" w:beforeAutospacing="1" w:after="0" w:line="240" w:lineRule="auto"/>
        <w:rPr>
          <w:rFonts w:ascii="Times New Roman" w:hAnsi="Times New Roman" w:eastAsia="Times New Roman" w:cs="Times New Roman"/>
          <w:i/>
          <w:iCs/>
          <w:sz w:val="24"/>
          <w:szCs w:val="24"/>
          <w:lang w:eastAsia="sk-SK"/>
        </w:rPr>
      </w:pPr>
      <w:r>
        <w:rPr>
          <w:rFonts w:ascii="Times New Roman" w:hAnsi="Times New Roman" w:eastAsia="Times New Roman" w:cs="Times New Roman"/>
          <w:i/>
          <w:iCs/>
          <w:sz w:val="24"/>
          <w:szCs w:val="24"/>
          <w:lang w:eastAsia="sk-SK"/>
        </w:rPr>
        <w:t>V Svätej Márii, dňa: ….....................................</w:t>
      </w:r>
    </w:p>
    <w:p w14:paraId="093DCF58">
      <w:pPr>
        <w:spacing w:before="100" w:beforeAutospacing="1" w:after="0" w:line="240" w:lineRule="auto"/>
        <w:rPr>
          <w:rFonts w:ascii="Times New Roman" w:hAnsi="Times New Roman" w:eastAsia="Times New Roman" w:cs="Times New Roman"/>
          <w:b/>
          <w:bCs/>
          <w:i/>
          <w:iCs/>
          <w:sz w:val="26"/>
          <w:szCs w:val="26"/>
          <w:lang w:eastAsia="sk-SK"/>
        </w:rPr>
      </w:pPr>
      <w:r>
        <w:rPr>
          <w:rFonts w:ascii="Times New Roman" w:hAnsi="Times New Roman" w:eastAsia="Times New Roman" w:cs="Times New Roman"/>
          <w:b/>
          <w:bCs/>
          <w:i/>
          <w:iCs/>
          <w:sz w:val="26"/>
          <w:szCs w:val="26"/>
          <w:lang w:eastAsia="sk-SK"/>
        </w:rPr>
        <w:t>Uznesenie č. 14/2025/k</w:t>
      </w:r>
    </w:p>
    <w:p w14:paraId="5989F845">
      <w:pPr>
        <w:spacing w:before="100" w:beforeAutospacing="1" w:after="0" w:line="240" w:lineRule="auto"/>
        <w:rPr>
          <w:rFonts w:ascii="Times New Roman" w:hAnsi="Times New Roman" w:eastAsia="Times New Roman" w:cs="Times New Roman"/>
          <w:b/>
          <w:bCs/>
          <w:i/>
          <w:iCs/>
          <w:sz w:val="26"/>
          <w:szCs w:val="26"/>
          <w:lang w:eastAsia="sk-SK"/>
        </w:rPr>
      </w:pPr>
    </w:p>
    <w:p w14:paraId="6FEA43F4">
      <w:pPr>
        <w:tabs>
          <w:tab w:val="left" w:pos="0"/>
          <w:tab w:val="left" w:pos="851"/>
        </w:tabs>
        <w:spacing w:after="0" w:line="240" w:lineRule="auto"/>
        <w:jc w:val="both"/>
        <w:rPr>
          <w:rFonts w:ascii="Times New Roman" w:hAnsi="Times New Roman" w:cs="Times New Roman"/>
          <w:i/>
          <w:sz w:val="24"/>
          <w:szCs w:val="24"/>
        </w:rPr>
      </w:pPr>
      <w:r>
        <w:rPr>
          <w:rFonts w:ascii="Times New Roman" w:hAnsi="Times New Roman" w:cs="Times New Roman"/>
          <w:b/>
          <w:i/>
          <w:sz w:val="24"/>
          <w:szCs w:val="24"/>
        </w:rPr>
        <w:t>Obecné zastupiteľstvo obce Svätá Mária</w:t>
      </w:r>
    </w:p>
    <w:p w14:paraId="03FD0411">
      <w:pPr>
        <w:spacing w:after="0" w:line="240" w:lineRule="auto"/>
        <w:jc w:val="both"/>
        <w:rPr>
          <w:rFonts w:ascii="Palatino Linotype" w:hAnsi="Palatino Linotype" w:cs="Times New Roman"/>
          <w:b/>
          <w:bCs/>
          <w:iCs/>
          <w:sz w:val="20"/>
          <w:szCs w:val="20"/>
        </w:rPr>
      </w:pPr>
    </w:p>
    <w:p w14:paraId="29447DAA">
      <w:pPr>
        <w:spacing w:after="0" w:line="240" w:lineRule="auto"/>
        <w:jc w:val="both"/>
        <w:rPr>
          <w:rFonts w:ascii="Times New Roman" w:hAnsi="Times New Roman" w:cs="Times New Roman"/>
          <w:b/>
          <w:bCs/>
          <w:iCs/>
          <w:sz w:val="24"/>
          <w:szCs w:val="24"/>
        </w:rPr>
      </w:pPr>
      <w:r>
        <w:rPr>
          <w:rFonts w:ascii="Times New Roman" w:hAnsi="Times New Roman" w:cs="Times New Roman"/>
          <w:b/>
          <w:bCs/>
          <w:iCs/>
          <w:sz w:val="24"/>
          <w:szCs w:val="24"/>
        </w:rPr>
        <w:t xml:space="preserve">schvaľuje </w:t>
      </w:r>
    </w:p>
    <w:p w14:paraId="4395A24C">
      <w:pPr>
        <w:pStyle w:val="23"/>
        <w:tabs>
          <w:tab w:val="left" w:pos="284"/>
        </w:tabs>
        <w:spacing w:after="0" w:line="240" w:lineRule="auto"/>
        <w:ind w:left="284"/>
        <w:jc w:val="both"/>
        <w:rPr>
          <w:rFonts w:ascii="Times New Roman" w:hAnsi="Times New Roman" w:cs="Times New Roman"/>
          <w:sz w:val="24"/>
          <w:szCs w:val="24"/>
        </w:rPr>
      </w:pPr>
    </w:p>
    <w:p w14:paraId="5E8018A5">
      <w:pPr>
        <w:tabs>
          <w:tab w:val="left" w:pos="284"/>
        </w:tabs>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podľa § 11 ods. 4 písm. m) zákona SNR č. 369/1990 Zb. o obecnom zriadení v z. n. p. (ďalej len „zákon o obecnom zriadení“)</w:t>
      </w:r>
    </w:p>
    <w:p w14:paraId="733E6661">
      <w:pPr>
        <w:tabs>
          <w:tab w:val="left" w:pos="284"/>
        </w:tabs>
        <w:spacing w:after="0" w:line="240" w:lineRule="auto"/>
        <w:jc w:val="both"/>
        <w:rPr>
          <w:rFonts w:ascii="Times New Roman" w:hAnsi="Times New Roman" w:cs="Times New Roman"/>
          <w:b/>
          <w:bCs/>
          <w:sz w:val="24"/>
          <w:szCs w:val="24"/>
        </w:rPr>
      </w:pPr>
    </w:p>
    <w:p w14:paraId="3BEA7B6B">
      <w:pPr>
        <w:pStyle w:val="23"/>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b/>
          <w:bCs/>
          <w:iCs/>
          <w:sz w:val="24"/>
          <w:szCs w:val="24"/>
        </w:rPr>
        <w:t xml:space="preserve">účasť </w:t>
      </w:r>
      <w:r>
        <w:rPr>
          <w:rFonts w:ascii="Times New Roman" w:hAnsi="Times New Roman" w:cs="Times New Roman"/>
          <w:b/>
          <w:bCs/>
          <w:sz w:val="24"/>
          <w:szCs w:val="24"/>
        </w:rPr>
        <w:t>obce v záujmovom združení právnických osôb Klub majiteľov dlhopisov, VVS, a. s.</w:t>
      </w:r>
    </w:p>
    <w:p w14:paraId="2D8D8C2B">
      <w:pPr>
        <w:spacing w:after="0" w:line="240" w:lineRule="auto"/>
        <w:ind w:left="284"/>
        <w:jc w:val="both"/>
        <w:rPr>
          <w:rFonts w:ascii="Times New Roman" w:hAnsi="Times New Roman" w:cs="Times New Roman"/>
          <w:sz w:val="24"/>
          <w:szCs w:val="24"/>
        </w:rPr>
      </w:pPr>
    </w:p>
    <w:p w14:paraId="2A470E5C">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Obec má zámer nadobudnúť postavenie člena záujmového združenia právnických osôb Klub majiteľov dlhopisov, VVS, a. s. po jeho vzniku. Záujmové združenie právnických osôb bude založené v intenciách § 20f a nasl. zákona č. 40/1964 Zb. Občiansky zákonník v z. n. p. </w:t>
      </w:r>
      <w:r>
        <w:rPr>
          <w:rFonts w:ascii="Times New Roman" w:hAnsi="Times New Roman" w:cs="Times New Roman"/>
          <w:i/>
          <w:iCs/>
          <w:sz w:val="24"/>
          <w:szCs w:val="24"/>
        </w:rPr>
        <w:t>(ďalej len „Občiansky zákonník“)</w:t>
      </w:r>
      <w:r>
        <w:rPr>
          <w:rFonts w:ascii="Times New Roman" w:hAnsi="Times New Roman" w:cs="Times New Roman"/>
          <w:sz w:val="24"/>
          <w:szCs w:val="24"/>
        </w:rPr>
        <w:t>.</w:t>
      </w:r>
    </w:p>
    <w:p w14:paraId="04DF1CAC">
      <w:pPr>
        <w:shd w:val="clear" w:color="auto" w:fill="FFFFFF"/>
        <w:spacing w:after="0" w:line="240" w:lineRule="auto"/>
        <w:jc w:val="both"/>
        <w:rPr>
          <w:rFonts w:ascii="Times New Roman" w:hAnsi="Times New Roman" w:cs="Times New Roman"/>
          <w:sz w:val="24"/>
          <w:szCs w:val="24"/>
        </w:rPr>
      </w:pPr>
    </w:p>
    <w:p w14:paraId="339C2B7A">
      <w:pPr>
        <w:pStyle w:val="23"/>
        <w:numPr>
          <w:ilvl w:val="0"/>
          <w:numId w:val="7"/>
        </w:numPr>
        <w:spacing w:after="160" w:line="240" w:lineRule="auto"/>
        <w:jc w:val="both"/>
        <w:rPr>
          <w:rFonts w:ascii="Times New Roman" w:hAnsi="Times New Roman" w:eastAsia="Times New Roman" w:cs="Times New Roman"/>
          <w:b/>
          <w:bCs/>
          <w:color w:val="000000"/>
          <w:sz w:val="24"/>
          <w:szCs w:val="24"/>
          <w:lang w:eastAsia="sk-SK"/>
        </w:rPr>
      </w:pPr>
      <w:r>
        <w:rPr>
          <w:rFonts w:ascii="Times New Roman" w:hAnsi="Times New Roman" w:eastAsia="Times New Roman" w:cs="Times New Roman"/>
          <w:color w:val="000000"/>
          <w:sz w:val="24"/>
          <w:szCs w:val="24"/>
          <w:lang w:eastAsia="sk-SK"/>
        </w:rPr>
        <w:t xml:space="preserve">podľa § 11 ods. 4 písm. m) zákona SNR č. 369/1990 Zb. o obecnom zriadení v znení neskorších predpisov </w:t>
      </w:r>
      <w:r>
        <w:rPr>
          <w:rFonts w:ascii="Times New Roman" w:hAnsi="Times New Roman" w:eastAsia="Times New Roman" w:cs="Times New Roman"/>
          <w:b/>
          <w:bCs/>
          <w:color w:val="000000"/>
          <w:sz w:val="24"/>
          <w:szCs w:val="24"/>
          <w:lang w:eastAsia="sk-SK"/>
        </w:rPr>
        <w:t>účasť obce Svätá Mária v občianskom združení:</w:t>
      </w:r>
    </w:p>
    <w:p w14:paraId="093CC44F">
      <w:pPr>
        <w:pStyle w:val="23"/>
        <w:spacing w:after="0" w:line="240" w:lineRule="auto"/>
        <w:jc w:val="both"/>
        <w:rPr>
          <w:rFonts w:ascii="Times New Roman" w:hAnsi="Times New Roman" w:eastAsia="Times New Roman" w:cs="Times New Roman"/>
          <w:b/>
          <w:bCs/>
          <w:color w:val="000000"/>
          <w:sz w:val="24"/>
          <w:szCs w:val="24"/>
          <w:lang w:eastAsia="sk-SK"/>
        </w:rPr>
      </w:pPr>
      <w:r>
        <w:rPr>
          <w:rFonts w:ascii="Times New Roman" w:hAnsi="Times New Roman" w:eastAsia="Times New Roman" w:cs="Times New Roman"/>
          <w:b/>
          <w:bCs/>
          <w:color w:val="000000"/>
          <w:sz w:val="24"/>
          <w:szCs w:val="24"/>
          <w:lang w:eastAsia="sk-SK"/>
        </w:rPr>
        <w:t>Klub akcionárov Východoslovenskej vodárenskej spoločnosti, a. s., o. z.</w:t>
      </w:r>
    </w:p>
    <w:p w14:paraId="7B43CE22">
      <w:pPr>
        <w:pStyle w:val="23"/>
        <w:spacing w:after="0" w:line="240" w:lineRule="auto"/>
        <w:rPr>
          <w:rFonts w:ascii="Times New Roman" w:hAnsi="Times New Roman" w:eastAsia="Times New Roman" w:cs="Times New Roman"/>
          <w:color w:val="000000"/>
          <w:sz w:val="24"/>
          <w:szCs w:val="24"/>
          <w:lang w:eastAsia="sk-SK"/>
        </w:rPr>
      </w:pPr>
      <w:r>
        <w:rPr>
          <w:rFonts w:ascii="Times New Roman" w:hAnsi="Times New Roman" w:eastAsia="Times New Roman" w:cs="Times New Roman"/>
          <w:color w:val="000000"/>
          <w:sz w:val="24"/>
          <w:szCs w:val="24"/>
          <w:lang w:eastAsia="sk-SK"/>
        </w:rPr>
        <w:t>Sídlo: Komenského 50, 042 47 Košice, Slovenská republika</w:t>
      </w:r>
    </w:p>
    <w:p w14:paraId="7347DA78">
      <w:pPr>
        <w:pStyle w:val="23"/>
        <w:spacing w:after="0" w:line="240" w:lineRule="auto"/>
        <w:rPr>
          <w:rFonts w:ascii="Times New Roman" w:hAnsi="Times New Roman" w:eastAsia="Times New Roman" w:cs="Times New Roman"/>
          <w:color w:val="000000"/>
          <w:sz w:val="24"/>
          <w:szCs w:val="24"/>
          <w:lang w:eastAsia="sk-SK"/>
        </w:rPr>
      </w:pPr>
      <w:r>
        <w:rPr>
          <w:rFonts w:ascii="Times New Roman" w:hAnsi="Times New Roman" w:eastAsia="Times New Roman" w:cs="Times New Roman"/>
          <w:color w:val="000000"/>
          <w:sz w:val="24"/>
          <w:szCs w:val="24"/>
          <w:lang w:eastAsia="sk-SK"/>
        </w:rPr>
        <w:t>IČO: 52861058</w:t>
      </w:r>
    </w:p>
    <w:p w14:paraId="269531FE">
      <w:pPr>
        <w:pStyle w:val="23"/>
        <w:spacing w:after="0" w:line="240" w:lineRule="auto"/>
        <w:rPr>
          <w:rFonts w:ascii="Times New Roman" w:hAnsi="Times New Roman" w:eastAsia="Times New Roman" w:cs="Times New Roman"/>
          <w:color w:val="000000"/>
          <w:sz w:val="24"/>
          <w:szCs w:val="24"/>
          <w:lang w:eastAsia="sk-SK"/>
        </w:rPr>
      </w:pPr>
      <w:r>
        <w:rPr>
          <w:rFonts w:ascii="Times New Roman" w:hAnsi="Times New Roman" w:eastAsia="Times New Roman" w:cs="Times New Roman"/>
          <w:color w:val="000000"/>
          <w:sz w:val="24"/>
          <w:szCs w:val="24"/>
          <w:lang w:eastAsia="sk-SK"/>
        </w:rPr>
        <w:t>Registračné číslo: VVS/1-900/90-58096</w:t>
      </w:r>
    </w:p>
    <w:p w14:paraId="44ABB59D">
      <w:pPr>
        <w:pStyle w:val="23"/>
        <w:spacing w:after="0" w:line="240" w:lineRule="auto"/>
        <w:rPr>
          <w:rFonts w:ascii="Times New Roman" w:hAnsi="Times New Roman" w:eastAsia="Times New Roman" w:cs="Times New Roman"/>
          <w:color w:val="000000"/>
          <w:sz w:val="24"/>
          <w:szCs w:val="24"/>
          <w:lang w:eastAsia="sk-SK"/>
        </w:rPr>
      </w:pPr>
      <w:r>
        <w:rPr>
          <w:rFonts w:ascii="Times New Roman" w:hAnsi="Times New Roman" w:eastAsia="Times New Roman" w:cs="Times New Roman"/>
          <w:color w:val="000000"/>
          <w:sz w:val="24"/>
          <w:szCs w:val="24"/>
          <w:lang w:eastAsia="sk-SK"/>
        </w:rPr>
        <w:t>Registrový úrad: MV SR</w:t>
      </w:r>
    </w:p>
    <w:p w14:paraId="0A6327CC">
      <w:pPr>
        <w:pStyle w:val="23"/>
        <w:spacing w:after="240" w:line="240" w:lineRule="auto"/>
        <w:rPr>
          <w:rFonts w:ascii="Times New Roman" w:hAnsi="Times New Roman" w:eastAsia="Times New Roman" w:cs="Times New Roman"/>
          <w:sz w:val="24"/>
          <w:szCs w:val="24"/>
          <w:lang w:eastAsia="sk-SK"/>
        </w:rPr>
      </w:pPr>
    </w:p>
    <w:p w14:paraId="3AD487BC">
      <w:pPr>
        <w:shd w:val="clear" w:color="auto" w:fill="FFFFFF"/>
        <w:spacing w:after="0" w:line="240" w:lineRule="auto"/>
        <w:jc w:val="both"/>
        <w:rPr>
          <w:rFonts w:ascii="Palatino Linotype" w:hAnsi="Palatino Linotype"/>
          <w:sz w:val="20"/>
          <w:szCs w:val="20"/>
        </w:rPr>
      </w:pPr>
    </w:p>
    <w:p w14:paraId="3BD123ED">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590088B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615C10E4">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2400D3D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4</w:t>
            </w:r>
          </w:p>
          <w:p w14:paraId="4ECBD737">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7D0C3956">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 Fučková, Horóckyová Valéria , PhDr.,MPH , J. Kováč, , P. Zelenáková</w:t>
            </w:r>
          </w:p>
        </w:tc>
      </w:tr>
      <w:tr w14:paraId="11C2467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04897A5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29266B3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1</w:t>
            </w:r>
          </w:p>
        </w:tc>
        <w:tc>
          <w:tcPr>
            <w:tcW w:w="3250" w:type="pct"/>
            <w:tcBorders>
              <w:top w:val="outset" w:color="000000" w:sz="6" w:space="0"/>
              <w:left w:val="outset" w:color="000000" w:sz="6" w:space="0"/>
              <w:bottom w:val="outset" w:color="000000" w:sz="6" w:space="0"/>
              <w:right w:val="outset" w:color="000000" w:sz="6" w:space="0"/>
            </w:tcBorders>
          </w:tcPr>
          <w:p w14:paraId="41EBE52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 Š. Zselenák</w:t>
            </w:r>
          </w:p>
        </w:tc>
      </w:tr>
      <w:tr w14:paraId="0487FF8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6516C38F">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35592DDA">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3940C310">
            <w:pPr>
              <w:spacing w:before="100" w:beforeAutospacing="1" w:after="0" w:line="240" w:lineRule="auto"/>
              <w:rPr>
                <w:rFonts w:ascii="Times New Roman" w:hAnsi="Times New Roman" w:eastAsia="Times New Roman" w:cs="Times New Roman"/>
                <w:sz w:val="24"/>
                <w:szCs w:val="24"/>
                <w:lang w:eastAsia="sk-SK"/>
              </w:rPr>
            </w:pPr>
          </w:p>
        </w:tc>
      </w:tr>
      <w:tr w14:paraId="64C8091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rHeight w:val="127" w:hRule="atLeast"/>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70619E4D">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6C02D0C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2</w:t>
            </w:r>
          </w:p>
        </w:tc>
        <w:tc>
          <w:tcPr>
            <w:tcW w:w="3250" w:type="pct"/>
            <w:tcBorders>
              <w:top w:val="outset" w:color="000000" w:sz="6" w:space="0"/>
              <w:left w:val="outset" w:color="000000" w:sz="6" w:space="0"/>
              <w:bottom w:val="outset" w:color="000000" w:sz="6" w:space="0"/>
              <w:right w:val="outset" w:color="000000" w:sz="6" w:space="0"/>
            </w:tcBorders>
          </w:tcPr>
          <w:p w14:paraId="4310563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6911AF6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668268B7">
      <w:pPr>
        <w:spacing w:before="100" w:beforeAutospacing="1" w:after="0" w:line="240" w:lineRule="auto"/>
        <w:rPr>
          <w:rFonts w:ascii="Times New Roman" w:hAnsi="Times New Roman" w:eastAsia="Times New Roman" w:cs="Times New Roman"/>
          <w:i/>
          <w:iCs/>
          <w:sz w:val="24"/>
          <w:szCs w:val="24"/>
          <w:lang w:eastAsia="sk-SK"/>
        </w:rPr>
      </w:pPr>
      <w:r>
        <w:rPr>
          <w:rFonts w:ascii="Times New Roman" w:hAnsi="Times New Roman" w:eastAsia="Times New Roman" w:cs="Times New Roman"/>
          <w:i/>
          <w:iCs/>
          <w:sz w:val="24"/>
          <w:szCs w:val="24"/>
          <w:lang w:eastAsia="sk-SK"/>
        </w:rPr>
        <w:t>V Svätej Márii, dňa: ….....................................</w:t>
      </w:r>
    </w:p>
    <w:p w14:paraId="6088853B">
      <w:pPr>
        <w:spacing w:before="100" w:beforeAutospacing="1" w:after="0" w:line="240" w:lineRule="auto"/>
        <w:rPr>
          <w:rFonts w:ascii="Times New Roman" w:hAnsi="Times New Roman" w:eastAsia="Times New Roman" w:cs="Times New Roman"/>
          <w:b/>
          <w:bCs/>
          <w:i/>
          <w:iCs/>
          <w:sz w:val="26"/>
          <w:szCs w:val="26"/>
          <w:lang w:eastAsia="sk-SK"/>
        </w:rPr>
      </w:pPr>
    </w:p>
    <w:p w14:paraId="3EB278CF">
      <w:pPr>
        <w:spacing w:before="100" w:beforeAutospacing="1" w:after="0" w:line="240" w:lineRule="auto"/>
        <w:rPr>
          <w:rFonts w:ascii="Times New Roman" w:hAnsi="Times New Roman" w:eastAsia="Times New Roman" w:cs="Times New Roman"/>
          <w:b/>
          <w:bCs/>
          <w:i/>
          <w:iCs/>
          <w:sz w:val="26"/>
          <w:szCs w:val="26"/>
          <w:lang w:eastAsia="sk-SK"/>
        </w:rPr>
      </w:pPr>
    </w:p>
    <w:p w14:paraId="3890E766">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6"/>
          <w:szCs w:val="26"/>
          <w:lang w:eastAsia="sk-SK"/>
        </w:rPr>
        <w:t>Uznesenie č. 15/2025</w:t>
      </w:r>
    </w:p>
    <w:p w14:paraId="2A0A025B">
      <w:pPr>
        <w:pStyle w:val="20"/>
        <w:spacing w:after="0"/>
      </w:pPr>
      <w:r>
        <w:rPr>
          <w:b/>
          <w:bCs/>
          <w:i/>
          <w:iCs/>
        </w:rPr>
        <w:t>berie na vedomie</w:t>
      </w:r>
    </w:p>
    <w:p w14:paraId="5D092FC7">
      <w:pPr>
        <w:pStyle w:val="20"/>
        <w:spacing w:after="0"/>
      </w:pPr>
      <w:r>
        <w:t>stanovisko hlavného kontrolóra k záverečnému účtu obce za rok 2024</w:t>
      </w:r>
    </w:p>
    <w:p w14:paraId="447AD38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1B95DBD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371129D9">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287F3AD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5</w:t>
            </w:r>
          </w:p>
        </w:tc>
        <w:tc>
          <w:tcPr>
            <w:tcW w:w="3250" w:type="pct"/>
            <w:tcBorders>
              <w:top w:val="outset" w:color="000000" w:sz="6" w:space="0"/>
              <w:left w:val="outset" w:color="000000" w:sz="6" w:space="0"/>
              <w:bottom w:val="outset" w:color="000000" w:sz="6" w:space="0"/>
              <w:right w:val="outset" w:color="000000" w:sz="6" w:space="0"/>
            </w:tcBorders>
          </w:tcPr>
          <w:p w14:paraId="3400BE6B">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A. Fučková, Horóckyová Valéria , PhDr.,MPH , J. Kováč, P. Zelenáková, Š. Zselenák, </w:t>
            </w:r>
          </w:p>
        </w:tc>
      </w:tr>
      <w:tr w14:paraId="0407D1D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5F1EF60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41D17C94">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1CA51448">
            <w:pPr>
              <w:spacing w:before="100" w:beforeAutospacing="1" w:after="0" w:line="240" w:lineRule="auto"/>
              <w:rPr>
                <w:rFonts w:ascii="Times New Roman" w:hAnsi="Times New Roman" w:eastAsia="Times New Roman" w:cs="Times New Roman"/>
                <w:sz w:val="24"/>
                <w:szCs w:val="24"/>
                <w:lang w:eastAsia="sk-SK"/>
              </w:rPr>
            </w:pPr>
          </w:p>
        </w:tc>
      </w:tr>
      <w:tr w14:paraId="568749A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3B09199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67278773">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72843F8F">
            <w:pPr>
              <w:spacing w:before="100" w:beforeAutospacing="1" w:after="0" w:line="240" w:lineRule="auto"/>
              <w:rPr>
                <w:rFonts w:ascii="Times New Roman" w:hAnsi="Times New Roman" w:eastAsia="Times New Roman" w:cs="Times New Roman"/>
                <w:sz w:val="24"/>
                <w:szCs w:val="24"/>
                <w:lang w:eastAsia="sk-SK"/>
              </w:rPr>
            </w:pPr>
          </w:p>
        </w:tc>
      </w:tr>
      <w:tr w14:paraId="034C6FD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1F21A3DA">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6897924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2</w:t>
            </w:r>
          </w:p>
        </w:tc>
        <w:tc>
          <w:tcPr>
            <w:tcW w:w="3250" w:type="pct"/>
            <w:tcBorders>
              <w:top w:val="outset" w:color="000000" w:sz="6" w:space="0"/>
              <w:left w:val="outset" w:color="000000" w:sz="6" w:space="0"/>
              <w:bottom w:val="outset" w:color="000000" w:sz="6" w:space="0"/>
              <w:right w:val="outset" w:color="000000" w:sz="6" w:space="0"/>
            </w:tcBorders>
          </w:tcPr>
          <w:p w14:paraId="19D45EFB">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266B6ED6">
      <w:pPr>
        <w:spacing w:before="100" w:beforeAutospacing="1" w:after="0" w:line="240" w:lineRule="auto"/>
        <w:rPr>
          <w:rFonts w:ascii="Times New Roman" w:hAnsi="Times New Roman" w:eastAsia="Times New Roman" w:cs="Times New Roman"/>
          <w:sz w:val="24"/>
          <w:szCs w:val="24"/>
          <w:lang w:eastAsia="sk-SK"/>
        </w:rPr>
      </w:pPr>
    </w:p>
    <w:p w14:paraId="0287D88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308A2974">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i/>
          <w:iCs/>
          <w:sz w:val="24"/>
          <w:szCs w:val="24"/>
          <w:lang w:eastAsia="sk-SK"/>
        </w:rPr>
        <w:t>V Svätej Márii, dňa: ….....................................</w:t>
      </w:r>
    </w:p>
    <w:p w14:paraId="3F651764">
      <w:pPr>
        <w:spacing w:before="100" w:beforeAutospacing="1" w:after="0" w:line="240" w:lineRule="auto"/>
        <w:rPr>
          <w:rFonts w:ascii="Times New Roman" w:hAnsi="Times New Roman" w:eastAsia="Times New Roman" w:cs="Times New Roman"/>
          <w:sz w:val="24"/>
          <w:szCs w:val="24"/>
          <w:lang w:eastAsia="sk-SK"/>
        </w:rPr>
      </w:pPr>
    </w:p>
    <w:p w14:paraId="243F366A">
      <w:pPr>
        <w:spacing w:before="100" w:beforeAutospacing="1" w:after="0" w:line="240" w:lineRule="auto"/>
        <w:rPr>
          <w:rFonts w:ascii="Times New Roman" w:hAnsi="Times New Roman" w:eastAsia="Times New Roman" w:cs="Times New Roman"/>
          <w:sz w:val="24"/>
          <w:szCs w:val="24"/>
          <w:lang w:eastAsia="sk-SK"/>
        </w:rPr>
      </w:pPr>
    </w:p>
    <w:p w14:paraId="2817473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6"/>
          <w:szCs w:val="26"/>
          <w:lang w:eastAsia="sk-SK"/>
        </w:rPr>
        <w:t>Uznesenie č. 16/2025</w:t>
      </w:r>
    </w:p>
    <w:p w14:paraId="2014DAFC">
      <w:pPr>
        <w:spacing w:before="100" w:beforeAutospacing="1" w:after="0" w:line="240" w:lineRule="auto"/>
        <w:rPr>
          <w:rFonts w:ascii="Times New Roman" w:hAnsi="Times New Roman" w:eastAsia="Times New Roman" w:cs="Times New Roman"/>
          <w:b/>
          <w:bCs/>
          <w:i/>
          <w:iCs/>
          <w:sz w:val="24"/>
          <w:szCs w:val="24"/>
          <w:lang w:eastAsia="sk-SK"/>
        </w:rPr>
      </w:pPr>
      <w:r>
        <w:rPr>
          <w:rFonts w:ascii="Times New Roman" w:hAnsi="Times New Roman" w:eastAsia="Times New Roman" w:cs="Times New Roman"/>
          <w:b/>
          <w:bCs/>
          <w:i/>
          <w:iCs/>
          <w:sz w:val="24"/>
          <w:szCs w:val="24"/>
          <w:lang w:eastAsia="sk-SK"/>
        </w:rPr>
        <w:t xml:space="preserve">Schvaľuje </w:t>
      </w:r>
    </w:p>
    <w:p w14:paraId="5B21B7A2">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4"/>
          <w:szCs w:val="24"/>
          <w:lang w:eastAsia="sk-SK"/>
        </w:rPr>
        <w:t>Záverečný účet obce za 2024 bez výhrad</w:t>
      </w:r>
    </w:p>
    <w:p w14:paraId="378EA3A2">
      <w:pPr>
        <w:pStyle w:val="20"/>
        <w:spacing w:after="0"/>
      </w:pPr>
    </w:p>
    <w:p w14:paraId="76285943">
      <w:pPr>
        <w:spacing w:before="100" w:beforeAutospacing="1" w:after="0" w:line="240" w:lineRule="auto"/>
        <w:rPr>
          <w:rFonts w:ascii="Times New Roman" w:hAnsi="Times New Roman" w:eastAsia="Times New Roman" w:cs="Times New Roman"/>
          <w:sz w:val="24"/>
          <w:szCs w:val="24"/>
          <w:lang w:eastAsia="sk-SK"/>
        </w:rPr>
      </w:pPr>
    </w:p>
    <w:p w14:paraId="04F55043">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374D0EA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5214C3A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01A1AE31">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5</w:t>
            </w:r>
          </w:p>
          <w:p w14:paraId="32A431D8">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6018ED1B">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A. Fučková, Horóckyová Valéria , PhDr.,MPH , J. Kováč,  P. Zelenáková, Š. Zselenák, </w:t>
            </w:r>
          </w:p>
        </w:tc>
      </w:tr>
      <w:tr w14:paraId="412EC39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2237AC6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4CDDCACD">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73B9FD13">
            <w:pPr>
              <w:spacing w:before="100" w:beforeAutospacing="1" w:after="0" w:line="240" w:lineRule="auto"/>
              <w:rPr>
                <w:rFonts w:ascii="Times New Roman" w:hAnsi="Times New Roman" w:eastAsia="Times New Roman" w:cs="Times New Roman"/>
                <w:sz w:val="24"/>
                <w:szCs w:val="24"/>
                <w:lang w:eastAsia="sk-SK"/>
              </w:rPr>
            </w:pPr>
          </w:p>
        </w:tc>
      </w:tr>
      <w:tr w14:paraId="0856C76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3A12D4F8">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7F8108C1">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1439CC14">
            <w:pPr>
              <w:spacing w:before="100" w:beforeAutospacing="1" w:after="0" w:line="240" w:lineRule="auto"/>
              <w:rPr>
                <w:rFonts w:ascii="Times New Roman" w:hAnsi="Times New Roman" w:eastAsia="Times New Roman" w:cs="Times New Roman"/>
                <w:sz w:val="24"/>
                <w:szCs w:val="24"/>
                <w:lang w:eastAsia="sk-SK"/>
              </w:rPr>
            </w:pPr>
          </w:p>
        </w:tc>
      </w:tr>
      <w:tr w14:paraId="598F17A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042C6D6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376C9CC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2</w:t>
            </w:r>
          </w:p>
        </w:tc>
        <w:tc>
          <w:tcPr>
            <w:tcW w:w="3250" w:type="pct"/>
            <w:tcBorders>
              <w:top w:val="outset" w:color="000000" w:sz="6" w:space="0"/>
              <w:left w:val="outset" w:color="000000" w:sz="6" w:space="0"/>
              <w:bottom w:val="outset" w:color="000000" w:sz="6" w:space="0"/>
              <w:right w:val="outset" w:color="000000" w:sz="6" w:space="0"/>
            </w:tcBorders>
          </w:tcPr>
          <w:p w14:paraId="5CC7017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618B4612">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370C09AA">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i/>
          <w:iCs/>
          <w:sz w:val="24"/>
          <w:szCs w:val="24"/>
          <w:lang w:eastAsia="sk-SK"/>
        </w:rPr>
        <w:t>V Svätej Márii, dňa: ….....................................</w:t>
      </w:r>
    </w:p>
    <w:p w14:paraId="63DB928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6"/>
          <w:szCs w:val="26"/>
          <w:lang w:eastAsia="sk-SK"/>
        </w:rPr>
        <w:t>Uznesenie č.17/2025</w:t>
      </w:r>
    </w:p>
    <w:p w14:paraId="799121BA">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4"/>
          <w:szCs w:val="24"/>
          <w:lang w:eastAsia="sk-SK"/>
        </w:rPr>
        <w:t>Berie  na vedomie</w:t>
      </w:r>
    </w:p>
    <w:p w14:paraId="4FC7D0DC">
      <w:pPr>
        <w:pStyle w:val="20"/>
        <w:spacing w:after="0"/>
      </w:pPr>
      <w:r>
        <w:t xml:space="preserve">List od prokurátora č. Pd 4/25/8811 ohľadom VZN o miestnych daniach a poplatkoch </w:t>
      </w:r>
    </w:p>
    <w:p w14:paraId="3FA45E2A">
      <w:pPr>
        <w:pStyle w:val="20"/>
        <w:spacing w:after="0"/>
      </w:pPr>
      <w:r>
        <w:t>/ podnet podávateľa Ing. Monika Pankulicsová /</w:t>
      </w:r>
    </w:p>
    <w:p w14:paraId="1FBD4DB9">
      <w:pPr>
        <w:spacing w:before="100" w:beforeAutospacing="1" w:after="0" w:line="240" w:lineRule="auto"/>
        <w:rPr>
          <w:rFonts w:ascii="Times New Roman" w:hAnsi="Times New Roman" w:eastAsia="Times New Roman" w:cs="Times New Roman"/>
          <w:sz w:val="24"/>
          <w:szCs w:val="24"/>
          <w:lang w:eastAsia="sk-SK"/>
        </w:rPr>
      </w:pPr>
    </w:p>
    <w:p w14:paraId="3C5B6B3A">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5626F31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1A2D72A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5C95322F">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5</w:t>
            </w:r>
          </w:p>
          <w:p w14:paraId="62B31F05">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0CB9FCE1">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A. Fučková, Horóckyová Valéria , PhDr.,MPH , J. Kováč, P. Zelenáková, Š. Zselenák, </w:t>
            </w:r>
          </w:p>
        </w:tc>
      </w:tr>
      <w:tr w14:paraId="616CFE4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2F48B1C4">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12D88213">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1702CC86">
            <w:pPr>
              <w:spacing w:before="100" w:beforeAutospacing="1" w:after="0" w:line="240" w:lineRule="auto"/>
              <w:rPr>
                <w:rFonts w:ascii="Times New Roman" w:hAnsi="Times New Roman" w:eastAsia="Times New Roman" w:cs="Times New Roman"/>
                <w:sz w:val="24"/>
                <w:szCs w:val="24"/>
                <w:lang w:eastAsia="sk-SK"/>
              </w:rPr>
            </w:pPr>
          </w:p>
        </w:tc>
      </w:tr>
      <w:tr w14:paraId="5C4C472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2D64D712">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109B9420">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3B8E4726">
            <w:pPr>
              <w:spacing w:before="100" w:beforeAutospacing="1" w:after="0" w:line="240" w:lineRule="auto"/>
              <w:rPr>
                <w:rFonts w:ascii="Times New Roman" w:hAnsi="Times New Roman" w:eastAsia="Times New Roman" w:cs="Times New Roman"/>
                <w:sz w:val="24"/>
                <w:szCs w:val="24"/>
                <w:lang w:eastAsia="sk-SK"/>
              </w:rPr>
            </w:pPr>
          </w:p>
        </w:tc>
      </w:tr>
      <w:tr w14:paraId="7495490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7551C461">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5CE7C60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2</w:t>
            </w:r>
          </w:p>
        </w:tc>
        <w:tc>
          <w:tcPr>
            <w:tcW w:w="3250" w:type="pct"/>
            <w:tcBorders>
              <w:top w:val="outset" w:color="000000" w:sz="6" w:space="0"/>
              <w:left w:val="outset" w:color="000000" w:sz="6" w:space="0"/>
              <w:bottom w:val="outset" w:color="000000" w:sz="6" w:space="0"/>
              <w:right w:val="outset" w:color="000000" w:sz="6" w:space="0"/>
            </w:tcBorders>
          </w:tcPr>
          <w:p w14:paraId="42A5FADA">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1E1F3E21">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2F9F2E76">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i/>
          <w:iCs/>
          <w:sz w:val="24"/>
          <w:szCs w:val="24"/>
          <w:lang w:eastAsia="sk-SK"/>
        </w:rPr>
        <w:t>V Svätej Márii, dňa: ….....................................</w:t>
      </w:r>
    </w:p>
    <w:p w14:paraId="08C640BC">
      <w:pPr>
        <w:spacing w:before="100" w:beforeAutospacing="1" w:after="0" w:line="240" w:lineRule="auto"/>
        <w:rPr>
          <w:rFonts w:ascii="Times New Roman" w:hAnsi="Times New Roman" w:eastAsia="Times New Roman" w:cs="Times New Roman"/>
          <w:b/>
          <w:bCs/>
          <w:i/>
          <w:iCs/>
          <w:sz w:val="26"/>
          <w:szCs w:val="26"/>
          <w:lang w:eastAsia="sk-SK"/>
        </w:rPr>
      </w:pPr>
    </w:p>
    <w:p w14:paraId="38AE13EF">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i/>
          <w:iCs/>
          <w:sz w:val="26"/>
          <w:szCs w:val="26"/>
          <w:lang w:eastAsia="sk-SK"/>
        </w:rPr>
        <w:t>Uznesenie č. 12/2025</w:t>
      </w:r>
    </w:p>
    <w:p w14:paraId="093F950A">
      <w:pPr>
        <w:spacing w:before="100" w:beforeAutospacing="1" w:after="0" w:line="240" w:lineRule="auto"/>
        <w:rPr>
          <w:rFonts w:ascii="Times New Roman" w:hAnsi="Times New Roman" w:eastAsia="Times New Roman" w:cs="Times New Roman"/>
          <w:b/>
          <w:bCs/>
          <w:i/>
          <w:iCs/>
          <w:sz w:val="24"/>
          <w:szCs w:val="24"/>
          <w:lang w:eastAsia="sk-SK"/>
        </w:rPr>
      </w:pPr>
      <w:r>
        <w:rPr>
          <w:rFonts w:ascii="Times New Roman" w:hAnsi="Times New Roman" w:eastAsia="Times New Roman" w:cs="Times New Roman"/>
          <w:b/>
          <w:bCs/>
          <w:i/>
          <w:iCs/>
          <w:sz w:val="24"/>
          <w:szCs w:val="24"/>
          <w:lang w:eastAsia="sk-SK"/>
        </w:rPr>
        <w:t>Schvaľuje</w:t>
      </w:r>
    </w:p>
    <w:p w14:paraId="6745529C">
      <w:pPr>
        <w:spacing w:before="100" w:beforeAutospacing="1" w:after="0" w:line="240" w:lineRule="auto"/>
        <w:rPr>
          <w:rFonts w:ascii="Times New Roman" w:hAnsi="Times New Roman" w:eastAsia="Times New Roman" w:cs="Times New Roman"/>
          <w:b/>
          <w:bCs/>
          <w:i/>
          <w:iCs/>
          <w:sz w:val="24"/>
          <w:szCs w:val="24"/>
          <w:lang w:eastAsia="sk-SK"/>
        </w:rPr>
      </w:pPr>
      <w:r>
        <w:rPr>
          <w:rFonts w:ascii="Times New Roman" w:hAnsi="Times New Roman" w:eastAsia="Times New Roman" w:cs="Times New Roman"/>
          <w:b/>
          <w:bCs/>
          <w:i/>
          <w:iCs/>
          <w:sz w:val="24"/>
          <w:szCs w:val="24"/>
          <w:lang w:eastAsia="sk-SK"/>
        </w:rPr>
        <w:t>Usporiadanie dní obce -  stretnutie sesterských dedín v dňoch 25-26.07.2025</w:t>
      </w:r>
    </w:p>
    <w:p w14:paraId="697F0A6E">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Hlasovanie:</w:t>
      </w:r>
    </w:p>
    <w:tbl>
      <w:tblPr>
        <w:tblStyle w:val="9"/>
        <w:tblW w:w="5000"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60" w:type="dxa"/>
          <w:left w:w="60" w:type="dxa"/>
          <w:bottom w:w="60" w:type="dxa"/>
          <w:right w:w="60" w:type="dxa"/>
        </w:tblCellMar>
      </w:tblPr>
      <w:tblGrid>
        <w:gridCol w:w="2398"/>
        <w:gridCol w:w="830"/>
        <w:gridCol w:w="5994"/>
      </w:tblGrid>
      <w:tr w14:paraId="7ADBFBE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49BFFD0B">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Za:</w:t>
            </w:r>
          </w:p>
        </w:tc>
        <w:tc>
          <w:tcPr>
            <w:tcW w:w="450" w:type="pct"/>
            <w:tcBorders>
              <w:top w:val="outset" w:color="000000" w:sz="6" w:space="0"/>
              <w:left w:val="outset" w:color="000000" w:sz="6" w:space="0"/>
              <w:bottom w:val="outset" w:color="000000" w:sz="6" w:space="0"/>
              <w:right w:val="outset" w:color="000000" w:sz="6" w:space="0"/>
            </w:tcBorders>
          </w:tcPr>
          <w:p w14:paraId="655B7C17">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5</w:t>
            </w:r>
          </w:p>
          <w:p w14:paraId="01B46A2E">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015A28CD">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 xml:space="preserve">A. Fučková, Horóckyová Valéria , PhDr.,MPH , J. Kováč, P. Zelenáková, Š. Zselenák, </w:t>
            </w:r>
          </w:p>
        </w:tc>
      </w:tr>
      <w:tr w14:paraId="7B13564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645B4C3C">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Proti:</w:t>
            </w:r>
          </w:p>
        </w:tc>
        <w:tc>
          <w:tcPr>
            <w:tcW w:w="450" w:type="pct"/>
            <w:tcBorders>
              <w:top w:val="outset" w:color="000000" w:sz="6" w:space="0"/>
              <w:left w:val="outset" w:color="000000" w:sz="6" w:space="0"/>
              <w:bottom w:val="outset" w:color="000000" w:sz="6" w:space="0"/>
              <w:right w:val="outset" w:color="000000" w:sz="6" w:space="0"/>
            </w:tcBorders>
          </w:tcPr>
          <w:p w14:paraId="1D8894E8">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1BC54C78">
            <w:pPr>
              <w:spacing w:before="100" w:beforeAutospacing="1" w:after="0" w:line="240" w:lineRule="auto"/>
              <w:rPr>
                <w:rFonts w:ascii="Times New Roman" w:hAnsi="Times New Roman" w:eastAsia="Times New Roman" w:cs="Times New Roman"/>
                <w:sz w:val="24"/>
                <w:szCs w:val="24"/>
                <w:lang w:eastAsia="sk-SK"/>
              </w:rPr>
            </w:pPr>
          </w:p>
        </w:tc>
      </w:tr>
      <w:tr w14:paraId="5BC707B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2FE2EFD0">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Zdržal sa:</w:t>
            </w:r>
          </w:p>
        </w:tc>
        <w:tc>
          <w:tcPr>
            <w:tcW w:w="450" w:type="pct"/>
            <w:tcBorders>
              <w:top w:val="outset" w:color="000000" w:sz="6" w:space="0"/>
              <w:left w:val="outset" w:color="000000" w:sz="6" w:space="0"/>
              <w:bottom w:val="outset" w:color="000000" w:sz="6" w:space="0"/>
              <w:right w:val="outset" w:color="000000" w:sz="6" w:space="0"/>
            </w:tcBorders>
          </w:tcPr>
          <w:p w14:paraId="3016D39B">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76C0C15D">
            <w:pPr>
              <w:spacing w:before="100" w:beforeAutospacing="1" w:after="0" w:line="240" w:lineRule="auto"/>
              <w:rPr>
                <w:rFonts w:ascii="Times New Roman" w:hAnsi="Times New Roman" w:eastAsia="Times New Roman" w:cs="Times New Roman"/>
                <w:sz w:val="24"/>
                <w:szCs w:val="24"/>
                <w:lang w:eastAsia="sk-SK"/>
              </w:rPr>
            </w:pPr>
          </w:p>
        </w:tc>
      </w:tr>
      <w:tr w14:paraId="2D8120A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60" w:type="dxa"/>
            <w:left w:w="60" w:type="dxa"/>
            <w:bottom w:w="60" w:type="dxa"/>
            <w:right w:w="60" w:type="dxa"/>
          </w:tblCellMar>
        </w:tblPrEx>
        <w:trPr>
          <w:tblCellSpacing w:w="0" w:type="dxa"/>
        </w:trPr>
        <w:tc>
          <w:tcPr>
            <w:tcW w:w="1300" w:type="pct"/>
            <w:tcBorders>
              <w:top w:val="outset" w:color="000000" w:sz="6" w:space="0"/>
              <w:left w:val="outset" w:color="000000" w:sz="6" w:space="0"/>
              <w:bottom w:val="outset" w:color="000000" w:sz="6" w:space="0"/>
              <w:right w:val="outset" w:color="000000" w:sz="6" w:space="0"/>
            </w:tcBorders>
          </w:tcPr>
          <w:p w14:paraId="7D80E0B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b/>
                <w:bCs/>
                <w:sz w:val="24"/>
                <w:szCs w:val="24"/>
                <w:lang w:eastAsia="sk-SK"/>
              </w:rPr>
              <w:t>Neprítomní:</w:t>
            </w:r>
          </w:p>
        </w:tc>
        <w:tc>
          <w:tcPr>
            <w:tcW w:w="450" w:type="pct"/>
            <w:tcBorders>
              <w:top w:val="outset" w:color="000000" w:sz="6" w:space="0"/>
              <w:left w:val="outset" w:color="000000" w:sz="6" w:space="0"/>
              <w:bottom w:val="outset" w:color="000000" w:sz="6" w:space="0"/>
              <w:right w:val="outset" w:color="000000" w:sz="6" w:space="0"/>
            </w:tcBorders>
          </w:tcPr>
          <w:p w14:paraId="5439740B">
            <w:pPr>
              <w:spacing w:before="100" w:beforeAutospacing="1" w:after="0" w:line="240" w:lineRule="auto"/>
              <w:rPr>
                <w:rFonts w:ascii="Times New Roman" w:hAnsi="Times New Roman" w:eastAsia="Times New Roman" w:cs="Times New Roman"/>
                <w:sz w:val="24"/>
                <w:szCs w:val="24"/>
                <w:lang w:eastAsia="sk-SK"/>
              </w:rPr>
            </w:pPr>
          </w:p>
        </w:tc>
        <w:tc>
          <w:tcPr>
            <w:tcW w:w="3250" w:type="pct"/>
            <w:tcBorders>
              <w:top w:val="outset" w:color="000000" w:sz="6" w:space="0"/>
              <w:left w:val="outset" w:color="000000" w:sz="6" w:space="0"/>
              <w:bottom w:val="outset" w:color="000000" w:sz="6" w:space="0"/>
              <w:right w:val="outset" w:color="000000" w:sz="6" w:space="0"/>
            </w:tcBorders>
          </w:tcPr>
          <w:p w14:paraId="3B25A03D">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Lipán Alexander, A. Želenáková</w:t>
            </w:r>
          </w:p>
        </w:tc>
      </w:tr>
    </w:tbl>
    <w:p w14:paraId="4DCD5325">
      <w:pPr>
        <w:spacing w:before="100" w:beforeAutospacing="1" w:after="0" w:line="240" w:lineRule="auto"/>
        <w:rPr>
          <w:rFonts w:ascii="Times New Roman" w:hAnsi="Times New Roman" w:eastAsia="Times New Roman" w:cs="Times New Roman"/>
          <w:sz w:val="24"/>
          <w:szCs w:val="24"/>
          <w:lang w:eastAsia="sk-SK"/>
        </w:rPr>
      </w:pPr>
      <w:r>
        <w:rPr>
          <w:rFonts w:ascii="Times New Roman" w:hAnsi="Times New Roman" w:eastAsia="Times New Roman" w:cs="Times New Roman"/>
          <w:sz w:val="24"/>
          <w:szCs w:val="24"/>
          <w:lang w:eastAsia="sk-SK"/>
        </w:rPr>
        <w:t>Alžbeta Mátyásová</w:t>
      </w:r>
      <w:r>
        <w:rPr>
          <w:rFonts w:ascii="Times New Roman" w:hAnsi="Times New Roman" w:eastAsia="Times New Roman" w:cs="Times New Roman"/>
          <w:i/>
          <w:iCs/>
          <w:sz w:val="24"/>
          <w:szCs w:val="24"/>
          <w:lang w:eastAsia="sk-SK"/>
        </w:rPr>
        <w:t>, starostka obce</w:t>
      </w:r>
    </w:p>
    <w:p w14:paraId="58FB950C">
      <w:pPr>
        <w:spacing w:before="100" w:beforeAutospacing="1" w:after="0" w:line="240" w:lineRule="auto"/>
        <w:rPr>
          <w:rFonts w:ascii="Times New Roman" w:hAnsi="Times New Roman" w:eastAsia="Times New Roman" w:cs="Times New Roman"/>
          <w:sz w:val="24"/>
          <w:szCs w:val="24"/>
          <w:lang w:eastAsia="sk-SK"/>
        </w:rPr>
      </w:pPr>
    </w:p>
    <w:p w14:paraId="4691C8B2">
      <w:pPr>
        <w:spacing w:before="100" w:beforeAutospacing="1" w:after="0" w:line="240" w:lineRule="auto"/>
        <w:rPr>
          <w:rFonts w:ascii="Times New Roman" w:hAnsi="Times New Roman" w:eastAsia="Times New Roman" w:cs="Times New Roman"/>
          <w:i/>
          <w:iCs/>
          <w:sz w:val="24"/>
          <w:szCs w:val="24"/>
          <w:lang w:eastAsia="sk-SK"/>
        </w:rPr>
      </w:pPr>
      <w:r>
        <w:rPr>
          <w:rFonts w:ascii="Times New Roman" w:hAnsi="Times New Roman" w:eastAsia="Times New Roman" w:cs="Times New Roman"/>
          <w:i/>
          <w:iCs/>
          <w:sz w:val="24"/>
          <w:szCs w:val="24"/>
          <w:lang w:eastAsia="sk-SK"/>
        </w:rPr>
        <w:t>V Svätej Márii, dňa: …....................................</w:t>
      </w:r>
    </w:p>
    <w:p w14:paraId="75BBBE6C">
      <w:pPr>
        <w:spacing w:before="100" w:beforeAutospacing="1" w:after="0" w:line="240" w:lineRule="auto"/>
        <w:rPr>
          <w:rFonts w:ascii="Times New Roman" w:hAnsi="Times New Roman" w:eastAsia="Times New Roman" w:cs="Times New Roman"/>
          <w:i/>
          <w:iCs/>
          <w:sz w:val="24"/>
          <w:szCs w:val="24"/>
          <w:lang w:eastAsia="sk-SK"/>
        </w:rPr>
      </w:pPr>
    </w:p>
    <w:p w14:paraId="15B0AED6">
      <w:pPr>
        <w:spacing w:before="100" w:beforeAutospacing="1" w:after="0" w:line="240" w:lineRule="auto"/>
        <w:rPr>
          <w:rFonts w:ascii="Times New Roman" w:hAnsi="Times New Roman" w:eastAsia="Times New Roman" w:cs="Times New Roman"/>
          <w:i/>
          <w:iCs/>
          <w:sz w:val="24"/>
          <w:szCs w:val="24"/>
          <w:lang w:eastAsia="sk-SK"/>
        </w:rPr>
      </w:pPr>
    </w:p>
    <w:p w14:paraId="6B663243">
      <w:pPr>
        <w:spacing w:before="100" w:beforeAutospacing="1" w:after="0" w:line="240" w:lineRule="auto"/>
        <w:rPr>
          <w:rFonts w:ascii="Times New Roman" w:hAnsi="Times New Roman" w:eastAsia="Times New Roman" w:cs="Times New Roman"/>
          <w:i/>
          <w:iCs/>
          <w:sz w:val="24"/>
          <w:szCs w:val="24"/>
          <w:lang w:eastAsia="sk-SK"/>
        </w:rPr>
      </w:pPr>
    </w:p>
    <w:p w14:paraId="6EC25118">
      <w:pPr>
        <w:spacing w:before="100" w:beforeAutospacing="1" w:after="0" w:line="240" w:lineRule="auto"/>
        <w:rPr>
          <w:rFonts w:ascii="Times New Roman" w:hAnsi="Times New Roman" w:eastAsia="Times New Roman" w:cs="Times New Roman"/>
          <w:i/>
          <w:iCs/>
          <w:sz w:val="24"/>
          <w:szCs w:val="24"/>
          <w:lang w:eastAsia="sk-SK"/>
        </w:rPr>
      </w:pPr>
    </w:p>
    <w:p w14:paraId="3E408D48">
      <w:pPr>
        <w:spacing w:before="100" w:beforeAutospacing="1" w:after="0" w:line="240" w:lineRule="auto"/>
        <w:rPr>
          <w:rFonts w:ascii="Times New Roman" w:hAnsi="Times New Roman" w:eastAsia="Times New Roman" w:cs="Times New Roman"/>
          <w:i/>
          <w:iCs/>
          <w:sz w:val="24"/>
          <w:szCs w:val="24"/>
          <w:lang w:eastAsia="sk-SK"/>
        </w:rPr>
      </w:pPr>
    </w:p>
    <w:p w14:paraId="324702DA">
      <w:pPr>
        <w:spacing w:before="100" w:beforeAutospacing="1" w:after="0" w:line="240" w:lineRule="auto"/>
        <w:rPr>
          <w:rFonts w:ascii="Times New Roman" w:hAnsi="Times New Roman" w:eastAsia="Times New Roman" w:cs="Times New Roman"/>
          <w:i/>
          <w:iCs/>
          <w:sz w:val="24"/>
          <w:szCs w:val="24"/>
          <w:lang w:eastAsia="sk-SK"/>
        </w:rPr>
      </w:pPr>
    </w:p>
    <w:p w14:paraId="1D9C0FF5">
      <w:pPr>
        <w:spacing w:before="100" w:beforeAutospacing="1" w:after="0" w:line="240" w:lineRule="auto"/>
        <w:rPr>
          <w:rFonts w:ascii="Times New Roman" w:hAnsi="Times New Roman" w:eastAsia="Times New Roman" w:cs="Times New Roman"/>
          <w:i/>
          <w:iCs/>
          <w:sz w:val="24"/>
          <w:szCs w:val="24"/>
          <w:lang w:eastAsia="sk-SK"/>
        </w:rPr>
      </w:pPr>
    </w:p>
    <w:p w14:paraId="7ACB1972">
      <w:pPr>
        <w:spacing w:before="100" w:beforeAutospacing="1" w:after="0" w:line="240" w:lineRule="auto"/>
        <w:rPr>
          <w:rFonts w:ascii="Times New Roman" w:hAnsi="Times New Roman" w:eastAsia="Times New Roman" w:cs="Times New Roman"/>
          <w:i/>
          <w:iCs/>
          <w:sz w:val="24"/>
          <w:szCs w:val="24"/>
          <w:lang w:eastAsia="sk-SK"/>
        </w:rPr>
      </w:pPr>
    </w:p>
    <w:p w14:paraId="6CD12FF1">
      <w:pPr>
        <w:spacing w:before="100" w:beforeAutospacing="1" w:after="0" w:line="240" w:lineRule="auto"/>
        <w:rPr>
          <w:rFonts w:ascii="Times New Roman" w:hAnsi="Times New Roman" w:eastAsia="Times New Roman" w:cs="Times New Roman"/>
          <w:i/>
          <w:iCs/>
          <w:sz w:val="24"/>
          <w:szCs w:val="24"/>
          <w:lang w:eastAsia="sk-SK"/>
        </w:rPr>
      </w:pPr>
    </w:p>
    <w:p w14:paraId="3377795E">
      <w:pPr>
        <w:spacing w:before="100" w:beforeAutospacing="1" w:after="0" w:line="240" w:lineRule="auto"/>
        <w:rPr>
          <w:rFonts w:ascii="Times New Roman" w:hAnsi="Times New Roman" w:eastAsia="Times New Roman" w:cs="Times New Roman"/>
          <w:i/>
          <w:iCs/>
          <w:sz w:val="24"/>
          <w:szCs w:val="24"/>
          <w:lang w:eastAsia="sk-SK"/>
        </w:rPr>
      </w:pPr>
    </w:p>
    <w:p w14:paraId="58AF6309">
      <w:pPr>
        <w:spacing w:before="100" w:beforeAutospacing="1" w:after="0" w:line="240" w:lineRule="auto"/>
        <w:rPr>
          <w:rFonts w:ascii="Times New Roman" w:hAnsi="Times New Roman" w:eastAsia="Times New Roman" w:cs="Times New Roman"/>
          <w:i/>
          <w:iCs/>
          <w:sz w:val="24"/>
          <w:szCs w:val="24"/>
          <w:lang w:eastAsia="sk-SK"/>
        </w:rPr>
      </w:pPr>
    </w:p>
    <w:p w14:paraId="29FBC5B9">
      <w:pPr>
        <w:rPr>
          <w:rFonts w:ascii="Palatino Linotype" w:hAnsi="Palatino Linotype"/>
          <w:b/>
          <w:bCs/>
          <w:sz w:val="20"/>
          <w:szCs w:val="20"/>
        </w:rPr>
      </w:pPr>
      <w:r>
        <w:rPr>
          <w:rFonts w:ascii="Times New Roman" w:hAnsi="Times New Roman" w:eastAsia="Times New Roman" w:cs="Times New Roman"/>
          <w:i/>
          <w:iCs/>
          <w:sz w:val="24"/>
          <w:szCs w:val="24"/>
          <w:lang w:eastAsia="sk-SK"/>
        </w:rPr>
        <w:t xml:space="preserve">Príloha k Uzneseniu: </w:t>
      </w:r>
      <w:r>
        <w:rPr>
          <w:rFonts w:ascii="Palatino Linotype" w:hAnsi="Palatino Linotype"/>
          <w:b/>
          <w:bCs/>
          <w:sz w:val="20"/>
          <w:szCs w:val="20"/>
        </w:rPr>
        <w:t>Obec Svätá Mária, Svätá Mária 29, 076 35 Somotor, IČO: 00331325</w:t>
      </w:r>
    </w:p>
    <w:p w14:paraId="3ADD2013">
      <w:pPr>
        <w:jc w:val="center"/>
        <w:rPr>
          <w:rFonts w:ascii="Palatino Linotype" w:hAnsi="Palatino Linotype"/>
          <w:b/>
          <w:bCs/>
          <w:sz w:val="20"/>
          <w:szCs w:val="20"/>
        </w:rPr>
      </w:pPr>
    </w:p>
    <w:p w14:paraId="502458E3">
      <w:pPr>
        <w:rPr>
          <w:rFonts w:ascii="Palatino Linotype" w:hAnsi="Palatino Linotype"/>
          <w:sz w:val="20"/>
          <w:szCs w:val="20"/>
        </w:rPr>
      </w:pPr>
    </w:p>
    <w:p w14:paraId="1D72CA18">
      <w:pPr>
        <w:jc w:val="center"/>
        <w:rPr>
          <w:rFonts w:ascii="Palatino Linotype" w:hAnsi="Palatino Linotype"/>
          <w:sz w:val="20"/>
          <w:szCs w:val="20"/>
        </w:rPr>
      </w:pPr>
    </w:p>
    <w:p w14:paraId="57BFB516">
      <w:pPr>
        <w:jc w:val="center"/>
        <w:rPr>
          <w:rFonts w:ascii="Palatino Linotype" w:hAnsi="Palatino Linotype"/>
          <w:sz w:val="20"/>
          <w:szCs w:val="20"/>
        </w:rPr>
      </w:pPr>
    </w:p>
    <w:p w14:paraId="7092F9EF">
      <w:pPr>
        <w:jc w:val="center"/>
        <w:rPr>
          <w:rFonts w:ascii="Palatino Linotype" w:hAnsi="Palatino Linotype"/>
          <w:sz w:val="20"/>
          <w:szCs w:val="20"/>
        </w:rPr>
      </w:pPr>
    </w:p>
    <w:p w14:paraId="518B4A12">
      <w:pPr>
        <w:jc w:val="center"/>
        <w:rPr>
          <w:rFonts w:ascii="Palatino Linotype" w:hAnsi="Palatino Linotype"/>
          <w:sz w:val="20"/>
          <w:szCs w:val="20"/>
        </w:rPr>
      </w:pPr>
    </w:p>
    <w:p w14:paraId="67A5854E">
      <w:pPr>
        <w:jc w:val="center"/>
        <w:rPr>
          <w:rFonts w:ascii="Palatino Linotype" w:hAnsi="Palatino Linotype"/>
          <w:sz w:val="20"/>
          <w:szCs w:val="20"/>
        </w:rPr>
      </w:pPr>
    </w:p>
    <w:p w14:paraId="53F7E956">
      <w:pPr>
        <w:jc w:val="center"/>
        <w:rPr>
          <w:rFonts w:ascii="Palatino Linotype" w:hAnsi="Palatino Linotype"/>
          <w:sz w:val="20"/>
          <w:szCs w:val="20"/>
        </w:rPr>
      </w:pPr>
    </w:p>
    <w:p w14:paraId="68BF6693">
      <w:pPr>
        <w:jc w:val="center"/>
        <w:rPr>
          <w:rFonts w:ascii="Palatino Linotype" w:hAnsi="Palatino Linotype"/>
          <w:sz w:val="20"/>
          <w:szCs w:val="20"/>
        </w:rPr>
      </w:pPr>
    </w:p>
    <w:p w14:paraId="11CF098B">
      <w:pPr>
        <w:jc w:val="center"/>
        <w:rPr>
          <w:rFonts w:ascii="Palatino Linotype" w:hAnsi="Palatino Linotype"/>
          <w:sz w:val="20"/>
          <w:szCs w:val="20"/>
        </w:rPr>
      </w:pPr>
    </w:p>
    <w:p w14:paraId="4EADE1CD">
      <w:pPr>
        <w:jc w:val="center"/>
        <w:rPr>
          <w:rFonts w:ascii="Palatino Linotype" w:hAnsi="Palatino Linotype"/>
          <w:b/>
          <w:bCs/>
          <w:sz w:val="20"/>
          <w:szCs w:val="20"/>
        </w:rPr>
      </w:pPr>
    </w:p>
    <w:p w14:paraId="7FBC5A2C">
      <w:pPr>
        <w:jc w:val="both"/>
        <w:rPr>
          <w:rFonts w:ascii="Palatino Linotype" w:hAnsi="Palatino Linotype"/>
          <w:b/>
          <w:bCs/>
          <w:sz w:val="20"/>
          <w:szCs w:val="20"/>
        </w:rPr>
      </w:pPr>
    </w:p>
    <w:p w14:paraId="77DC4EFB">
      <w:pPr>
        <w:jc w:val="both"/>
        <w:rPr>
          <w:rFonts w:ascii="Palatino Linotype" w:hAnsi="Palatino Linotype"/>
          <w:b/>
          <w:bCs/>
          <w:sz w:val="20"/>
          <w:szCs w:val="20"/>
        </w:rPr>
      </w:pPr>
    </w:p>
    <w:p w14:paraId="59CEDCE8">
      <w:pPr>
        <w:jc w:val="center"/>
        <w:rPr>
          <w:rFonts w:ascii="Palatino Linotype" w:hAnsi="Palatino Linotype"/>
          <w:b/>
          <w:bCs/>
          <w:sz w:val="20"/>
          <w:szCs w:val="20"/>
        </w:rPr>
      </w:pPr>
    </w:p>
    <w:p w14:paraId="6FFD9582">
      <w:pPr>
        <w:jc w:val="center"/>
        <w:rPr>
          <w:rFonts w:ascii="Palatino Linotype" w:hAnsi="Palatino Linotype"/>
          <w:b/>
          <w:bCs/>
          <w:sz w:val="20"/>
          <w:szCs w:val="20"/>
        </w:rPr>
      </w:pPr>
      <w:r>
        <w:rPr>
          <w:rFonts w:ascii="Palatino Linotype" w:hAnsi="Palatino Linotype"/>
          <w:b/>
          <w:bCs/>
          <w:sz w:val="20"/>
          <w:szCs w:val="20"/>
        </w:rPr>
        <w:t xml:space="preserve">Podmienky obchodnej verejnej súťaže </w:t>
      </w:r>
    </w:p>
    <w:p w14:paraId="6E5D8546">
      <w:pPr>
        <w:jc w:val="center"/>
        <w:rPr>
          <w:rFonts w:ascii="Palatino Linotype" w:hAnsi="Palatino Linotype"/>
          <w:b/>
          <w:bCs/>
          <w:sz w:val="20"/>
          <w:szCs w:val="20"/>
        </w:rPr>
      </w:pPr>
      <w:r>
        <w:rPr>
          <w:rFonts w:ascii="Palatino Linotype" w:hAnsi="Palatino Linotype"/>
          <w:b/>
          <w:bCs/>
          <w:sz w:val="20"/>
          <w:szCs w:val="20"/>
        </w:rPr>
        <w:t>na prevod akcií obce Svätá Mária</w:t>
      </w:r>
    </w:p>
    <w:p w14:paraId="14CEC199">
      <w:pPr>
        <w:jc w:val="center"/>
        <w:rPr>
          <w:rFonts w:ascii="Palatino Linotype" w:hAnsi="Palatino Linotype"/>
          <w:b/>
          <w:bCs/>
          <w:sz w:val="20"/>
          <w:szCs w:val="20"/>
        </w:rPr>
      </w:pPr>
      <w:r>
        <w:rPr>
          <w:rFonts w:ascii="Palatino Linotype" w:hAnsi="Palatino Linotype"/>
          <w:b/>
          <w:bCs/>
          <w:sz w:val="20"/>
          <w:szCs w:val="20"/>
        </w:rPr>
        <w:t>v obchodnej spoločnosti Východoslovenská vodárenská spoločnosť, a. s.</w:t>
      </w:r>
    </w:p>
    <w:p w14:paraId="5AE5C51A">
      <w:pPr>
        <w:jc w:val="center"/>
        <w:rPr>
          <w:rFonts w:ascii="Palatino Linotype" w:hAnsi="Palatino Linotype"/>
          <w:b/>
          <w:bCs/>
          <w:sz w:val="20"/>
          <w:szCs w:val="20"/>
        </w:rPr>
      </w:pPr>
    </w:p>
    <w:p w14:paraId="3BC74AF7">
      <w:pPr>
        <w:jc w:val="center"/>
        <w:rPr>
          <w:rFonts w:ascii="Palatino Linotype" w:hAnsi="Palatino Linotype"/>
          <w:i/>
          <w:iCs/>
          <w:sz w:val="20"/>
          <w:szCs w:val="20"/>
        </w:rPr>
      </w:pPr>
      <w:r>
        <w:rPr>
          <w:rFonts w:ascii="Palatino Linotype" w:hAnsi="Palatino Linotype"/>
          <w:i/>
          <w:iCs/>
          <w:sz w:val="20"/>
          <w:szCs w:val="20"/>
        </w:rPr>
        <w:t>(ďalej v texte aj „podmienky súťaže“)</w:t>
      </w:r>
    </w:p>
    <w:p w14:paraId="5AFE0103">
      <w:pPr>
        <w:ind w:left="5664" w:hanging="5664"/>
        <w:rPr>
          <w:rFonts w:ascii="Palatino Linotype" w:hAnsi="Palatino Linotype"/>
          <w:bCs/>
          <w:sz w:val="20"/>
          <w:szCs w:val="20"/>
        </w:rPr>
      </w:pPr>
    </w:p>
    <w:p w14:paraId="5D79AC66">
      <w:pPr>
        <w:ind w:left="5664" w:hanging="5664"/>
        <w:rPr>
          <w:rFonts w:ascii="Palatino Linotype" w:hAnsi="Palatino Linotype"/>
          <w:bCs/>
          <w:sz w:val="20"/>
          <w:szCs w:val="20"/>
        </w:rPr>
      </w:pPr>
    </w:p>
    <w:p w14:paraId="32755522">
      <w:pPr>
        <w:rPr>
          <w:rFonts w:ascii="Palatino Linotype" w:hAnsi="Palatino Linotype"/>
          <w:bCs/>
          <w:sz w:val="20"/>
          <w:szCs w:val="20"/>
        </w:rPr>
      </w:pPr>
    </w:p>
    <w:p w14:paraId="5A4FD3F0">
      <w:pPr>
        <w:ind w:left="5664" w:hanging="5664"/>
        <w:rPr>
          <w:rFonts w:ascii="Palatino Linotype" w:hAnsi="Palatino Linotype"/>
          <w:bCs/>
          <w:sz w:val="20"/>
          <w:szCs w:val="20"/>
        </w:rPr>
      </w:pPr>
    </w:p>
    <w:p w14:paraId="43828F2E">
      <w:pPr>
        <w:ind w:left="5664" w:hanging="5664"/>
        <w:rPr>
          <w:rFonts w:ascii="Palatino Linotype" w:hAnsi="Palatino Linotype"/>
          <w:bCs/>
          <w:sz w:val="20"/>
          <w:szCs w:val="20"/>
        </w:rPr>
      </w:pPr>
      <w:r>
        <w:rPr>
          <w:rFonts w:ascii="Palatino Linotype" w:hAnsi="Palatino Linotype"/>
          <w:bCs/>
          <w:sz w:val="20"/>
          <w:szCs w:val="20"/>
        </w:rPr>
        <w:t xml:space="preserve">Obec Svätá Mária, dátum vyhlásenia (uverejnenia podmienok súťaže): </w:t>
      </w:r>
      <w:r>
        <w:rPr>
          <w:rStyle w:val="46"/>
          <w:rFonts w:ascii="Palatino Linotype" w:hAnsi="Palatino Linotype"/>
          <w:color w:val="FF0000"/>
          <w:sz w:val="20"/>
          <w:szCs w:val="20"/>
        </w:rPr>
        <w:t>…….</w:t>
      </w:r>
      <w:r>
        <w:rPr>
          <w:rFonts w:ascii="Palatino Linotype" w:hAnsi="Palatino Linotype"/>
          <w:bCs/>
          <w:sz w:val="20"/>
          <w:szCs w:val="20"/>
        </w:rPr>
        <w:t xml:space="preserve">    </w:t>
      </w:r>
    </w:p>
    <w:p w14:paraId="02BBAE42">
      <w:pPr>
        <w:ind w:left="4956" w:firstLine="708"/>
        <w:rPr>
          <w:rFonts w:ascii="Palatino Linotype" w:hAnsi="Palatino Linotype"/>
          <w:bCs/>
          <w:sz w:val="20"/>
          <w:szCs w:val="20"/>
        </w:rPr>
      </w:pPr>
      <w:r>
        <w:rPr>
          <w:rFonts w:ascii="Palatino Linotype" w:hAnsi="Palatino Linotype"/>
          <w:bCs/>
          <w:sz w:val="20"/>
          <w:szCs w:val="20"/>
        </w:rPr>
        <w:t>Alžbeta Matyásová</w:t>
      </w:r>
      <w:r>
        <w:rPr>
          <w:rFonts w:ascii="Palatino Linotype" w:hAnsi="Palatino Linotype"/>
          <w:bCs/>
          <w:sz w:val="20"/>
          <w:szCs w:val="20"/>
        </w:rPr>
        <w:br w:type="textWrapping"/>
      </w:r>
      <w:r>
        <w:rPr>
          <w:rFonts w:ascii="Palatino Linotype" w:hAnsi="Palatino Linotype"/>
          <w:bCs/>
          <w:sz w:val="20"/>
          <w:szCs w:val="20"/>
        </w:rPr>
        <w:t xml:space="preserve">              starostka obce Svätá Mária</w:t>
      </w:r>
    </w:p>
    <w:p w14:paraId="7518C595">
      <w:pPr>
        <w:ind w:left="5664"/>
        <w:rPr>
          <w:rFonts w:ascii="Palatino Linotype" w:hAnsi="Palatino Linotype"/>
          <w:b/>
          <w:sz w:val="20"/>
          <w:szCs w:val="20"/>
        </w:rPr>
        <w:sectPr>
          <w:footerReference r:id="rId5" w:type="default"/>
          <w:pgSz w:w="11906" w:h="16838"/>
          <w:pgMar w:top="1417" w:right="1417" w:bottom="1417" w:left="1417" w:header="708" w:footer="708" w:gutter="0"/>
          <w:cols w:space="708" w:num="1"/>
          <w:docGrid w:linePitch="360" w:charSpace="0"/>
        </w:sectPr>
      </w:pPr>
    </w:p>
    <w:p w14:paraId="5260DA65">
      <w:pPr>
        <w:pStyle w:val="23"/>
        <w:ind w:left="153"/>
        <w:jc w:val="center"/>
        <w:rPr>
          <w:rFonts w:ascii="Palatino Linotype" w:hAnsi="Palatino Linotype"/>
          <w:b/>
          <w:bCs/>
          <w:sz w:val="20"/>
          <w:szCs w:val="20"/>
        </w:rPr>
      </w:pPr>
      <w:r>
        <w:rPr>
          <w:rFonts w:ascii="Palatino Linotype" w:hAnsi="Palatino Linotype"/>
          <w:b/>
          <w:bCs/>
          <w:sz w:val="20"/>
          <w:szCs w:val="20"/>
        </w:rPr>
        <w:t>Obec Svätá Mária, Svätá Mária 29, 076 35 Somotor, IČO: 00331325</w:t>
      </w:r>
    </w:p>
    <w:p w14:paraId="68A7296F">
      <w:pPr>
        <w:pStyle w:val="23"/>
        <w:ind w:left="153"/>
        <w:jc w:val="center"/>
        <w:rPr>
          <w:rFonts w:ascii="Palatino Linotype" w:hAnsi="Palatino Linotype"/>
          <w:b/>
          <w:bCs/>
          <w:iCs/>
          <w:sz w:val="20"/>
          <w:szCs w:val="20"/>
        </w:rPr>
      </w:pPr>
    </w:p>
    <w:p w14:paraId="6FED71DF">
      <w:pPr>
        <w:jc w:val="both"/>
        <w:rPr>
          <w:rFonts w:ascii="Palatino Linotype" w:hAnsi="Palatino Linotype"/>
          <w:i/>
          <w:iCs/>
          <w:sz w:val="20"/>
          <w:szCs w:val="20"/>
        </w:rPr>
      </w:pPr>
      <w:r>
        <w:rPr>
          <w:rFonts w:ascii="Palatino Linotype" w:hAnsi="Palatino Linotype"/>
          <w:i/>
          <w:iCs/>
          <w:sz w:val="20"/>
          <w:szCs w:val="20"/>
        </w:rPr>
        <w:t xml:space="preserve">v intenciách § 281 a nasl. zákona č. 513/1991 Zb. Obchodný zákonník v z. n. p. (ďalej len „Obchodný zákonník“) a §  9a ods. 1 písm. a) v spojení s § 9ab ods. 2 zákona SNR č. 138/1991 Zb. o majetku obcí v z. n. p. (ďalej len „zákon o majetku obcí“) </w:t>
      </w:r>
    </w:p>
    <w:p w14:paraId="03365D18">
      <w:pPr>
        <w:jc w:val="center"/>
        <w:rPr>
          <w:rFonts w:ascii="Palatino Linotype" w:hAnsi="Palatino Linotype"/>
          <w:b/>
          <w:sz w:val="20"/>
          <w:szCs w:val="20"/>
        </w:rPr>
      </w:pPr>
    </w:p>
    <w:p w14:paraId="579E168B">
      <w:pPr>
        <w:jc w:val="center"/>
        <w:rPr>
          <w:rFonts w:ascii="Palatino Linotype" w:hAnsi="Palatino Linotype"/>
          <w:b/>
          <w:sz w:val="20"/>
          <w:szCs w:val="20"/>
        </w:rPr>
      </w:pPr>
      <w:r>
        <w:rPr>
          <w:rFonts w:ascii="Palatino Linotype" w:hAnsi="Palatino Linotype"/>
          <w:b/>
          <w:sz w:val="20"/>
          <w:szCs w:val="20"/>
        </w:rPr>
        <w:t>vyhlasuje obchodnú verejnú súťaž</w:t>
      </w:r>
    </w:p>
    <w:p w14:paraId="66D3AE82">
      <w:pPr>
        <w:jc w:val="center"/>
        <w:rPr>
          <w:rFonts w:ascii="Palatino Linotype" w:hAnsi="Palatino Linotype"/>
          <w:b/>
          <w:bCs/>
          <w:sz w:val="20"/>
          <w:szCs w:val="20"/>
        </w:rPr>
      </w:pPr>
      <w:r>
        <w:rPr>
          <w:rFonts w:ascii="Palatino Linotype" w:hAnsi="Palatino Linotype"/>
          <w:b/>
          <w:bCs/>
          <w:sz w:val="20"/>
          <w:szCs w:val="20"/>
        </w:rPr>
        <w:t>na prevod akcií obce v obchodnej spoločnosti Východoslovenská vodárenská spoločnosť, a. s.</w:t>
      </w:r>
    </w:p>
    <w:p w14:paraId="61DAA42A">
      <w:pPr>
        <w:jc w:val="center"/>
        <w:rPr>
          <w:rFonts w:ascii="Palatino Linotype" w:hAnsi="Palatino Linotype"/>
          <w:i/>
          <w:iCs/>
          <w:sz w:val="20"/>
          <w:szCs w:val="20"/>
        </w:rPr>
      </w:pPr>
      <w:r>
        <w:rPr>
          <w:rFonts w:ascii="Palatino Linotype" w:hAnsi="Palatino Linotype"/>
          <w:i/>
          <w:iCs/>
          <w:sz w:val="20"/>
          <w:szCs w:val="20"/>
        </w:rPr>
        <w:t>(ďalej aj „súťaž“ alebo „obchodná verejná súťaž“)</w:t>
      </w:r>
    </w:p>
    <w:p w14:paraId="1BD8D187">
      <w:pPr>
        <w:jc w:val="both"/>
        <w:rPr>
          <w:rFonts w:ascii="Palatino Linotype" w:hAnsi="Palatino Linotype"/>
          <w:b/>
          <w:bCs/>
          <w:sz w:val="20"/>
          <w:szCs w:val="20"/>
        </w:rPr>
      </w:pPr>
    </w:p>
    <w:p w14:paraId="67EADB97">
      <w:pPr>
        <w:pStyle w:val="23"/>
        <w:numPr>
          <w:ilvl w:val="0"/>
          <w:numId w:val="8"/>
        </w:numPr>
        <w:spacing w:after="0" w:line="240" w:lineRule="auto"/>
        <w:rPr>
          <w:rFonts w:ascii="Palatino Linotype" w:hAnsi="Palatino Linotype"/>
          <w:b/>
          <w:bCs/>
          <w:iCs/>
          <w:sz w:val="20"/>
          <w:szCs w:val="20"/>
        </w:rPr>
      </w:pPr>
      <w:r>
        <w:rPr>
          <w:rFonts w:ascii="Palatino Linotype" w:hAnsi="Palatino Linotype"/>
          <w:b/>
          <w:bCs/>
          <w:iCs/>
          <w:sz w:val="20"/>
          <w:szCs w:val="20"/>
        </w:rPr>
        <w:t xml:space="preserve">Všeobecné informácie </w:t>
      </w:r>
    </w:p>
    <w:p w14:paraId="37F72EDC">
      <w:pPr>
        <w:pStyle w:val="23"/>
        <w:ind w:left="153"/>
        <w:rPr>
          <w:rFonts w:ascii="Palatino Linotype" w:hAnsi="Palatino Linotype"/>
          <w:b/>
          <w:bCs/>
          <w:iCs/>
          <w:sz w:val="20"/>
          <w:szCs w:val="20"/>
        </w:rPr>
      </w:pPr>
    </w:p>
    <w:p w14:paraId="20CD8331">
      <w:pPr>
        <w:pStyle w:val="23"/>
        <w:numPr>
          <w:ilvl w:val="0"/>
          <w:numId w:val="9"/>
        </w:numPr>
        <w:spacing w:after="0" w:line="240" w:lineRule="auto"/>
        <w:ind w:left="284" w:hanging="284"/>
        <w:rPr>
          <w:rFonts w:ascii="Palatino Linotype" w:hAnsi="Palatino Linotype"/>
          <w:sz w:val="20"/>
          <w:szCs w:val="20"/>
        </w:rPr>
      </w:pPr>
      <w:r>
        <w:rPr>
          <w:rFonts w:ascii="Palatino Linotype" w:hAnsi="Palatino Linotype"/>
          <w:sz w:val="20"/>
          <w:szCs w:val="20"/>
        </w:rPr>
        <w:t>Vyhlasovateľ súťaže:</w:t>
      </w:r>
    </w:p>
    <w:p w14:paraId="072EBD68">
      <w:pPr>
        <w:pStyle w:val="23"/>
        <w:ind w:left="284" w:hanging="284"/>
        <w:rPr>
          <w:rFonts w:ascii="Palatino Linotype" w:hAnsi="Palatino Linotype"/>
          <w:sz w:val="20"/>
          <w:szCs w:val="20"/>
        </w:rPr>
      </w:pPr>
    </w:p>
    <w:p w14:paraId="2724E0A7">
      <w:pPr>
        <w:tabs>
          <w:tab w:val="left" w:pos="2880"/>
        </w:tabs>
        <w:ind w:left="284" w:hanging="284"/>
        <w:jc w:val="both"/>
        <w:rPr>
          <w:rFonts w:ascii="Palatino Linotype" w:hAnsi="Palatino Linotype"/>
          <w:bCs/>
          <w:sz w:val="20"/>
          <w:szCs w:val="20"/>
        </w:rPr>
      </w:pPr>
      <w:r>
        <w:rPr>
          <w:rFonts w:ascii="Palatino Linotype" w:hAnsi="Palatino Linotype"/>
          <w:bCs/>
          <w:sz w:val="20"/>
          <w:szCs w:val="20"/>
        </w:rPr>
        <w:t>Názov obce: Obec Svätá Mária</w:t>
      </w:r>
    </w:p>
    <w:p w14:paraId="4CCB1E0A">
      <w:pPr>
        <w:tabs>
          <w:tab w:val="left" w:pos="2880"/>
        </w:tabs>
        <w:ind w:left="284" w:hanging="284"/>
        <w:jc w:val="both"/>
        <w:rPr>
          <w:rFonts w:ascii="Palatino Linotype" w:hAnsi="Palatino Linotype"/>
          <w:bCs/>
          <w:sz w:val="20"/>
          <w:szCs w:val="20"/>
        </w:rPr>
      </w:pPr>
      <w:r>
        <w:rPr>
          <w:rFonts w:ascii="Palatino Linotype" w:hAnsi="Palatino Linotype"/>
          <w:bCs/>
          <w:sz w:val="20"/>
          <w:szCs w:val="20"/>
        </w:rPr>
        <w:t>IČO: 00331325</w:t>
      </w:r>
    </w:p>
    <w:p w14:paraId="274C4864">
      <w:pPr>
        <w:tabs>
          <w:tab w:val="left" w:pos="2880"/>
        </w:tabs>
        <w:ind w:left="284" w:hanging="284"/>
        <w:jc w:val="both"/>
        <w:rPr>
          <w:rFonts w:ascii="Palatino Linotype" w:hAnsi="Palatino Linotype"/>
          <w:bCs/>
          <w:sz w:val="20"/>
          <w:szCs w:val="20"/>
        </w:rPr>
      </w:pPr>
      <w:r>
        <w:rPr>
          <w:rFonts w:ascii="Palatino Linotype" w:hAnsi="Palatino Linotype"/>
          <w:bCs/>
          <w:sz w:val="20"/>
          <w:szCs w:val="20"/>
        </w:rPr>
        <w:t xml:space="preserve">Sídlo: Obec Svätá Mária, Svätá Mária 29, 076 35 Somotor </w:t>
      </w:r>
    </w:p>
    <w:p w14:paraId="3481E73D">
      <w:pPr>
        <w:tabs>
          <w:tab w:val="left" w:pos="2880"/>
        </w:tabs>
        <w:ind w:left="284" w:hanging="284"/>
        <w:jc w:val="both"/>
        <w:rPr>
          <w:rFonts w:ascii="Palatino Linotype" w:hAnsi="Palatino Linotype"/>
          <w:bCs/>
          <w:sz w:val="20"/>
          <w:szCs w:val="20"/>
        </w:rPr>
      </w:pPr>
      <w:r>
        <w:rPr>
          <w:rFonts w:ascii="Palatino Linotype" w:hAnsi="Palatino Linotype"/>
          <w:bCs/>
          <w:sz w:val="20"/>
          <w:szCs w:val="20"/>
        </w:rPr>
        <w:t>Štatutárny orgán: Alžbeta Matyásová – starostka obce Svätá Mária</w:t>
      </w:r>
    </w:p>
    <w:p w14:paraId="7690F0DD">
      <w:pPr>
        <w:tabs>
          <w:tab w:val="left" w:pos="2880"/>
        </w:tabs>
        <w:ind w:left="284" w:hanging="284"/>
        <w:jc w:val="both"/>
        <w:rPr>
          <w:rFonts w:ascii="Palatino Linotype" w:hAnsi="Palatino Linotype"/>
          <w:bCs/>
          <w:sz w:val="20"/>
          <w:szCs w:val="20"/>
        </w:rPr>
      </w:pPr>
      <w:r>
        <w:rPr>
          <w:rFonts w:ascii="Palatino Linotype" w:hAnsi="Palatino Linotype"/>
          <w:bCs/>
          <w:sz w:val="20"/>
          <w:szCs w:val="20"/>
        </w:rPr>
        <w:t>Bankový účet v tvare IBAN: SK ..............................................................., vedený v ...........................................</w:t>
      </w:r>
    </w:p>
    <w:p w14:paraId="31754918">
      <w:pPr>
        <w:tabs>
          <w:tab w:val="left" w:pos="2880"/>
        </w:tabs>
        <w:ind w:left="284" w:hanging="284"/>
        <w:jc w:val="both"/>
        <w:rPr>
          <w:rFonts w:ascii="Palatino Linotype" w:hAnsi="Palatino Linotype"/>
          <w:bCs/>
          <w:sz w:val="20"/>
          <w:szCs w:val="20"/>
        </w:rPr>
      </w:pPr>
      <w:r>
        <w:rPr>
          <w:rFonts w:ascii="Palatino Linotype" w:hAnsi="Palatino Linotype"/>
          <w:bCs/>
          <w:sz w:val="20"/>
          <w:szCs w:val="20"/>
        </w:rPr>
        <w:t>Kontaktná osoba: .................</w:t>
      </w:r>
    </w:p>
    <w:p w14:paraId="7B81EC77">
      <w:pPr>
        <w:jc w:val="both"/>
        <w:rPr>
          <w:bCs/>
        </w:rPr>
      </w:pPr>
      <w:r>
        <w:rPr>
          <w:rFonts w:ascii="Palatino Linotype" w:hAnsi="Palatino Linotype"/>
          <w:bCs/>
          <w:sz w:val="20"/>
          <w:szCs w:val="20"/>
        </w:rPr>
        <w:t>E-mailová adresa kontaktnej osoby: .................</w:t>
      </w:r>
    </w:p>
    <w:p w14:paraId="42598DC3">
      <w:pPr>
        <w:tabs>
          <w:tab w:val="left" w:pos="2880"/>
        </w:tabs>
        <w:ind w:left="284" w:hanging="284"/>
        <w:jc w:val="both"/>
        <w:rPr>
          <w:rFonts w:ascii="Palatino Linotype" w:hAnsi="Palatino Linotype"/>
          <w:bCs/>
          <w:i/>
          <w:iCs/>
          <w:sz w:val="20"/>
          <w:szCs w:val="20"/>
        </w:rPr>
      </w:pPr>
      <w:r>
        <w:rPr>
          <w:rFonts w:ascii="Palatino Linotype" w:hAnsi="Palatino Linotype"/>
          <w:bCs/>
          <w:sz w:val="20"/>
          <w:szCs w:val="20"/>
        </w:rPr>
        <w:t>Telefónne číslo kontaktnej osoby: .................</w:t>
      </w:r>
      <w:r>
        <w:rPr>
          <w:rFonts w:ascii="Palatino Linotype" w:hAnsi="Palatino Linotype"/>
          <w:bCs/>
          <w:i/>
          <w:iCs/>
          <w:sz w:val="20"/>
          <w:szCs w:val="20"/>
        </w:rPr>
        <w:t xml:space="preserve"> </w:t>
      </w:r>
    </w:p>
    <w:p w14:paraId="00A04756">
      <w:pPr>
        <w:tabs>
          <w:tab w:val="left" w:pos="2880"/>
        </w:tabs>
        <w:ind w:left="284" w:hanging="284"/>
        <w:jc w:val="right"/>
        <w:rPr>
          <w:rFonts w:ascii="Palatino Linotype" w:hAnsi="Palatino Linotype"/>
          <w:bCs/>
          <w:sz w:val="20"/>
          <w:szCs w:val="20"/>
        </w:rPr>
      </w:pPr>
      <w:r>
        <w:rPr>
          <w:rFonts w:ascii="Palatino Linotype" w:hAnsi="Palatino Linotype"/>
          <w:bCs/>
          <w:i/>
          <w:iCs/>
          <w:sz w:val="20"/>
          <w:szCs w:val="20"/>
        </w:rPr>
        <w:t>(ďalej v texte aj „vyhlasovateľ súťaže“)</w:t>
      </w:r>
      <w:r>
        <w:rPr>
          <w:rFonts w:ascii="Palatino Linotype" w:hAnsi="Palatino Linotype"/>
          <w:bCs/>
          <w:sz w:val="20"/>
          <w:szCs w:val="20"/>
        </w:rPr>
        <w:t>.</w:t>
      </w:r>
    </w:p>
    <w:p w14:paraId="1FDD6B63">
      <w:pPr>
        <w:tabs>
          <w:tab w:val="left" w:pos="2880"/>
        </w:tabs>
        <w:ind w:left="284" w:hanging="284"/>
        <w:jc w:val="center"/>
        <w:rPr>
          <w:rFonts w:ascii="Palatino Linotype" w:hAnsi="Palatino Linotype"/>
          <w:bCs/>
          <w:sz w:val="20"/>
          <w:szCs w:val="20"/>
        </w:rPr>
      </w:pPr>
    </w:p>
    <w:p w14:paraId="0C6D70D6">
      <w:pPr>
        <w:pStyle w:val="23"/>
        <w:numPr>
          <w:ilvl w:val="0"/>
          <w:numId w:val="9"/>
        </w:numPr>
        <w:tabs>
          <w:tab w:val="left" w:pos="284"/>
        </w:tabs>
        <w:spacing w:after="0" w:line="240" w:lineRule="auto"/>
        <w:ind w:left="0" w:firstLine="0"/>
        <w:contextualSpacing w:val="0"/>
        <w:jc w:val="both"/>
        <w:rPr>
          <w:rFonts w:ascii="Palatino Linotype" w:hAnsi="Palatino Linotype"/>
          <w:b/>
          <w:bCs/>
          <w:sz w:val="20"/>
          <w:szCs w:val="20"/>
          <w:u w:val="single"/>
        </w:rPr>
      </w:pPr>
      <w:r>
        <w:rPr>
          <w:rFonts w:ascii="Palatino Linotype" w:hAnsi="Palatino Linotype"/>
          <w:sz w:val="20"/>
          <w:szCs w:val="20"/>
        </w:rPr>
        <w:t xml:space="preserve">Vyhlasovateľ súťaže je výlučným vlastníkom 3674 akcií, ktoré nahrádza hromadná akcia s dátumom emisie 31.01.2022, ktorých menovitá hodnota zodpovedá 0,05%-nému podielu na základnom imaní obchodnej spoločnosti Východoslovenská vodárenská spoločnosť, a. s., IČO: 36 570 460, so sídlom Komenského 50, 042 48 Košice, zapísanej v Obchodnom registri Mestského súdu Košice, Oddiel: Sa, Vložka číslo: 1243/V </w:t>
      </w:r>
      <w:r>
        <w:rPr>
          <w:rFonts w:ascii="Palatino Linotype" w:hAnsi="Palatino Linotype"/>
          <w:i/>
          <w:iCs/>
          <w:sz w:val="20"/>
          <w:szCs w:val="20"/>
        </w:rPr>
        <w:t>(ďalej aj „VVS, a. s.“, „ akciová spoločnosť“ alebo „spoločnosť“)</w:t>
      </w:r>
      <w:r>
        <w:rPr>
          <w:rFonts w:ascii="Palatino Linotype" w:hAnsi="Palatino Linotype"/>
          <w:sz w:val="20"/>
          <w:szCs w:val="20"/>
        </w:rPr>
        <w:t>.</w:t>
      </w:r>
    </w:p>
    <w:p w14:paraId="5D8E85BD">
      <w:pPr>
        <w:pStyle w:val="23"/>
        <w:tabs>
          <w:tab w:val="left" w:pos="284"/>
        </w:tabs>
        <w:ind w:left="0"/>
        <w:contextualSpacing w:val="0"/>
        <w:jc w:val="both"/>
        <w:rPr>
          <w:rFonts w:ascii="Palatino Linotype" w:hAnsi="Palatino Linotype"/>
          <w:b/>
          <w:bCs/>
          <w:sz w:val="20"/>
          <w:szCs w:val="20"/>
          <w:u w:val="single"/>
        </w:rPr>
      </w:pPr>
    </w:p>
    <w:p w14:paraId="3FAD8A80">
      <w:pPr>
        <w:pStyle w:val="23"/>
        <w:numPr>
          <w:ilvl w:val="0"/>
          <w:numId w:val="9"/>
        </w:numPr>
        <w:tabs>
          <w:tab w:val="left" w:pos="284"/>
        </w:tabs>
        <w:spacing w:after="0" w:line="240" w:lineRule="auto"/>
        <w:ind w:left="0" w:firstLine="0"/>
        <w:contextualSpacing w:val="0"/>
        <w:jc w:val="both"/>
        <w:rPr>
          <w:rFonts w:ascii="Palatino Linotype" w:hAnsi="Palatino Linotype"/>
          <w:b/>
          <w:bCs/>
          <w:sz w:val="20"/>
          <w:szCs w:val="20"/>
          <w:u w:val="single"/>
        </w:rPr>
      </w:pPr>
      <w:r>
        <w:rPr>
          <w:rFonts w:ascii="Palatino Linotype" w:hAnsi="Palatino Linotype"/>
          <w:sz w:val="20"/>
          <w:szCs w:val="20"/>
        </w:rPr>
        <w:t xml:space="preserve">VVS, a. s. je kapitálovou obchodnou spoločnosťou, založenou na dobu neurčitú, ktorej výška základného imania je 230 837 178,- € </w:t>
      </w:r>
      <w:r>
        <w:rPr>
          <w:rFonts w:ascii="Palatino Linotype" w:hAnsi="Palatino Linotype"/>
          <w:i/>
          <w:iCs/>
          <w:sz w:val="20"/>
          <w:szCs w:val="20"/>
        </w:rPr>
        <w:t>(slovom dvestotridsať miliónov osemstotridsaťsedemtisíc jednostosedemdesiatosem eur)</w:t>
      </w:r>
      <w:r>
        <w:rPr>
          <w:rFonts w:ascii="Palatino Linotype" w:hAnsi="Palatino Linotype"/>
          <w:sz w:val="20"/>
          <w:szCs w:val="20"/>
        </w:rPr>
        <w:t xml:space="preserve">. Základné imanie je tvorené 6 995 066 </w:t>
      </w:r>
      <w:r>
        <w:rPr>
          <w:rFonts w:ascii="Palatino Linotype" w:hAnsi="Palatino Linotype"/>
          <w:i/>
          <w:iCs/>
          <w:sz w:val="20"/>
          <w:szCs w:val="20"/>
        </w:rPr>
        <w:t xml:space="preserve">(slovom šesť miliónov deväťstodeväťdesiatpäťtisícšesťdesiatšesť) </w:t>
      </w:r>
      <w:r>
        <w:rPr>
          <w:rFonts w:ascii="Palatino Linotype" w:hAnsi="Palatino Linotype"/>
          <w:sz w:val="20"/>
          <w:szCs w:val="20"/>
        </w:rPr>
        <w:t xml:space="preserve">akciami na meno, v menovitej hodnote jednej akcie 33,- € </w:t>
      </w:r>
      <w:r>
        <w:rPr>
          <w:rFonts w:ascii="Palatino Linotype" w:hAnsi="Palatino Linotype"/>
          <w:i/>
          <w:iCs/>
          <w:sz w:val="20"/>
          <w:szCs w:val="20"/>
        </w:rPr>
        <w:t>(slovom tridsaťtri eur)</w:t>
      </w:r>
      <w:r>
        <w:rPr>
          <w:rFonts w:ascii="Palatino Linotype" w:hAnsi="Palatino Linotype"/>
          <w:sz w:val="20"/>
          <w:szCs w:val="20"/>
        </w:rPr>
        <w:t>.</w:t>
      </w:r>
      <w:r>
        <w:rPr>
          <w:rFonts w:ascii="Palatino Linotype" w:hAnsi="Palatino Linotype"/>
          <w:b/>
          <w:bCs/>
          <w:sz w:val="20"/>
          <w:szCs w:val="20"/>
        </w:rPr>
        <w:t xml:space="preserve"> </w:t>
      </w:r>
      <w:r>
        <w:rPr>
          <w:rFonts w:ascii="Palatino Linotype" w:hAnsi="Palatino Linotype"/>
          <w:sz w:val="20"/>
          <w:szCs w:val="20"/>
        </w:rPr>
        <w:t xml:space="preserve">VVS, a. s. pri svojom vzniku viedla akcie v zaknihovanej podobe v zákonom ustanovenej evidencii cenných papierov u centrálneho depozitára podľa zákona č. 566/2001 Z. z. o cenných papieroch a investičných službách a o zmene a doplnení niektorých zákonov v z. n. p. </w:t>
      </w:r>
      <w:r>
        <w:rPr>
          <w:rFonts w:ascii="Palatino Linotype" w:hAnsi="Palatino Linotype"/>
          <w:i/>
          <w:iCs/>
          <w:sz w:val="20"/>
          <w:szCs w:val="20"/>
        </w:rPr>
        <w:t>(ďalej len „zákon o cenných papieroch“)</w:t>
      </w:r>
      <w:r>
        <w:rPr>
          <w:rFonts w:ascii="Palatino Linotype" w:hAnsi="Palatino Linotype"/>
          <w:sz w:val="20"/>
          <w:szCs w:val="20"/>
        </w:rPr>
        <w:t>. Po zmene podoby zaknihovaných akcií na listinné, VVS, a. s. emitovala listinné akcie na meno a odovzdala ich akcionárom podľa príslušných ustanovení zákona o cenných papieroch. VVS, a. s. je súkromnou akciovou spoločnosťou, ktorá nevydala žiadne akcie na základe verejnej výzvy na upisovanie akcií, a ktorej akcie nebudú prijaté burzou na obchodovanie na trhu cenných papierov.</w:t>
      </w:r>
    </w:p>
    <w:p w14:paraId="7FA722C5">
      <w:pPr>
        <w:shd w:val="clear" w:color="auto" w:fill="FFFFFF"/>
        <w:jc w:val="both"/>
        <w:rPr>
          <w:rFonts w:ascii="Palatino Linotype" w:hAnsi="Palatino Linotype"/>
          <w:sz w:val="20"/>
          <w:szCs w:val="20"/>
        </w:rPr>
      </w:pPr>
      <w:r>
        <w:rPr>
          <w:rFonts w:ascii="Palatino Linotype" w:hAnsi="Palatino Linotype"/>
          <w:sz w:val="20"/>
          <w:szCs w:val="20"/>
        </w:rPr>
        <w:t xml:space="preserve">Právne postavenie akcionárov je regulované zakladateľskou zmluvou </w:t>
      </w:r>
      <w:r>
        <w:rPr>
          <w:rFonts w:ascii="Palatino Linotype" w:hAnsi="Palatino Linotype"/>
          <w:i/>
          <w:iCs/>
          <w:sz w:val="20"/>
          <w:szCs w:val="20"/>
        </w:rPr>
        <w:t>(ďalej len „zakladateľská zmluva VVS, a. s.“)</w:t>
      </w:r>
      <w:r>
        <w:rPr>
          <w:rFonts w:ascii="Palatino Linotype" w:hAnsi="Palatino Linotype"/>
          <w:sz w:val="20"/>
          <w:szCs w:val="20"/>
        </w:rPr>
        <w:t xml:space="preserve"> a stanovami akciovej spoločnosti z 22.06.2023, ktoré boli schválené na valnom zhromaždení VVS, a. s. uskutočnenom dňa 22.06.2023. </w:t>
      </w:r>
      <w:r>
        <w:rPr>
          <w:rFonts w:ascii="Palatino Linotype" w:hAnsi="Palatino Linotype"/>
          <w:i/>
          <w:iCs/>
          <w:sz w:val="20"/>
          <w:szCs w:val="20"/>
        </w:rPr>
        <w:t>(ďalej aj „stanovy VVS, a. s.“)</w:t>
      </w:r>
      <w:r>
        <w:rPr>
          <w:rFonts w:ascii="Palatino Linotype" w:hAnsi="Palatino Linotype"/>
          <w:sz w:val="20"/>
          <w:szCs w:val="20"/>
        </w:rPr>
        <w:t xml:space="preserve"> a príslušnými právnymi predpismi, najmä Obchodným zákonníkom a zákonom o cenných papieroch</w:t>
      </w:r>
      <w:r>
        <w:rPr>
          <w:rFonts w:ascii="Palatino Linotype" w:hAnsi="Palatino Linotype"/>
          <w:b/>
          <w:bCs/>
          <w:sz w:val="20"/>
          <w:szCs w:val="20"/>
        </w:rPr>
        <w:t xml:space="preserve">. </w:t>
      </w:r>
      <w:r>
        <w:rPr>
          <w:rFonts w:ascii="Palatino Linotype" w:hAnsi="Palatino Linotype"/>
          <w:sz w:val="20"/>
          <w:szCs w:val="20"/>
        </w:rPr>
        <w:t>Sloboda dispozície vyhlasovateľa súťaže voľne nakladať s akciami tvoriacimi majetkovú účasť vo VVS, a. s. je limitovaná čo do spôsobu prevodu akcií, ale tiež aj s ohľadom na charakter podnikateľskej činnosti spoločnosti. Hlavným predmetom podnikateľskej činnosti spoločnosti je najmä, nie však výlučne, výroba vody – prevádzka a ochrana zariadení vodovodov v oblasti výroby a dopravy pitnej vody, distribúcia vody do jednotlivých oblastí a tlakových pásiem, sledovanie strát vody a výkon opatrení na ich znižovanie a ďalšie činnosti; odkanalizovanie vody – odvádzanie a čistenie odpadových vôd, zrážkových vôd, likvidácia vzniknutého kalu, prevádzka, údržba a vykonávanie opráv, renovácií a rekonštrukcií stokových sietí a čistiarní odpadových vôd v správe spoločnosti.</w:t>
      </w:r>
    </w:p>
    <w:p w14:paraId="49EDCA57">
      <w:pPr>
        <w:pStyle w:val="23"/>
        <w:tabs>
          <w:tab w:val="left" w:pos="284"/>
        </w:tabs>
        <w:ind w:left="0"/>
        <w:contextualSpacing w:val="0"/>
        <w:jc w:val="both"/>
        <w:rPr>
          <w:rFonts w:ascii="Palatino Linotype" w:hAnsi="Palatino Linotype"/>
          <w:b/>
          <w:bCs/>
          <w:sz w:val="20"/>
          <w:szCs w:val="20"/>
          <w:u w:val="single"/>
        </w:rPr>
      </w:pPr>
      <w:r>
        <w:rPr>
          <w:rFonts w:ascii="Palatino Linotype" w:hAnsi="Palatino Linotype"/>
          <w:sz w:val="20"/>
          <w:szCs w:val="20"/>
        </w:rPr>
        <w:t>  Pitná a úžitková voda predstavujú komodity s neopomenuteľným dopadom na verejné zdravie a život, preto je majetková účasť v tejto spoločnosti regulovaná prísnymi verejnoprávnymi normami.</w:t>
      </w:r>
    </w:p>
    <w:p w14:paraId="42783F4D">
      <w:pPr>
        <w:pStyle w:val="23"/>
        <w:tabs>
          <w:tab w:val="left" w:pos="284"/>
        </w:tabs>
        <w:ind w:left="0" w:firstLine="284"/>
        <w:contextualSpacing w:val="0"/>
        <w:jc w:val="both"/>
        <w:rPr>
          <w:rFonts w:ascii="Palatino Linotype" w:hAnsi="Palatino Linotype"/>
          <w:sz w:val="20"/>
          <w:szCs w:val="20"/>
        </w:rPr>
      </w:pPr>
      <w:r>
        <w:rPr>
          <w:rFonts w:ascii="Palatino Linotype" w:hAnsi="Palatino Linotype"/>
          <w:sz w:val="20"/>
          <w:szCs w:val="20"/>
        </w:rPr>
        <w:t xml:space="preserve">Akcie, tvoriace majetkovú účasť na základnom imaní VVS, a. s., možno previesť len na subjekt verejného práva podľa § 3 ods. 3 zákona č. 442/2002 Z. z. o verejných vodovodoch a verejných kanalizáciách v z. n. p. </w:t>
      </w:r>
      <w:r>
        <w:rPr>
          <w:rFonts w:ascii="Palatino Linotype" w:hAnsi="Palatino Linotype"/>
          <w:i/>
          <w:iCs/>
          <w:sz w:val="20"/>
          <w:szCs w:val="20"/>
        </w:rPr>
        <w:t>(ďalej len „zákon o verejných vodovodoch a verejných kanalizáciách“)</w:t>
      </w:r>
      <w:r>
        <w:rPr>
          <w:rFonts w:ascii="Palatino Linotype" w:hAnsi="Palatino Linotype"/>
          <w:sz w:val="20"/>
          <w:szCs w:val="20"/>
        </w:rPr>
        <w:t>. Záložným veriteľom, ktorého záloh tvoria akcie vo VVS, a. s., môže byť výhradne subjekt verejného práva. Subjektom verejného práva je podľa zákona o verejných vodovodoch a verejných kanalizáciách:</w:t>
      </w:r>
    </w:p>
    <w:p w14:paraId="1A2142B1">
      <w:pPr>
        <w:pStyle w:val="23"/>
        <w:numPr>
          <w:ilvl w:val="1"/>
          <w:numId w:val="10"/>
        </w:numPr>
        <w:tabs>
          <w:tab w:val="left" w:pos="284"/>
        </w:tabs>
        <w:spacing w:after="0" w:line="240" w:lineRule="auto"/>
        <w:ind w:left="567" w:hanging="283"/>
        <w:contextualSpacing w:val="0"/>
        <w:jc w:val="both"/>
        <w:rPr>
          <w:rFonts w:ascii="Palatino Linotype" w:hAnsi="Palatino Linotype"/>
          <w:sz w:val="20"/>
          <w:szCs w:val="20"/>
        </w:rPr>
      </w:pPr>
      <w:r>
        <w:rPr>
          <w:rFonts w:ascii="Palatino Linotype" w:hAnsi="Palatino Linotype"/>
          <w:sz w:val="20"/>
          <w:szCs w:val="20"/>
        </w:rPr>
        <w:t xml:space="preserve">obec, </w:t>
      </w:r>
    </w:p>
    <w:p w14:paraId="0908525A">
      <w:pPr>
        <w:pStyle w:val="23"/>
        <w:numPr>
          <w:ilvl w:val="1"/>
          <w:numId w:val="10"/>
        </w:numPr>
        <w:tabs>
          <w:tab w:val="left" w:pos="284"/>
        </w:tabs>
        <w:spacing w:after="0" w:line="240" w:lineRule="auto"/>
        <w:ind w:left="567" w:hanging="283"/>
        <w:contextualSpacing w:val="0"/>
        <w:jc w:val="both"/>
        <w:rPr>
          <w:rFonts w:ascii="Palatino Linotype" w:hAnsi="Palatino Linotype"/>
          <w:sz w:val="20"/>
          <w:szCs w:val="20"/>
        </w:rPr>
      </w:pPr>
      <w:r>
        <w:rPr>
          <w:rFonts w:ascii="Palatino Linotype" w:hAnsi="Palatino Linotype"/>
          <w:sz w:val="20"/>
          <w:szCs w:val="20"/>
        </w:rPr>
        <w:t xml:space="preserve">právnická osoba zriadená podľa osobitného predpisu (zákon č. 92/1991 Zb. o podmienkach prevodu majetku štátu na iné osoby v z. n. p. </w:t>
      </w:r>
      <w:r>
        <w:rPr>
          <w:rFonts w:ascii="Palatino Linotype" w:hAnsi="Palatino Linotype"/>
          <w:i/>
          <w:iCs/>
          <w:sz w:val="20"/>
          <w:szCs w:val="20"/>
        </w:rPr>
        <w:t>(ďalej len „zákon o podmienkach prevodu majetku štátu“)</w:t>
      </w:r>
      <w:r>
        <w:rPr>
          <w:rFonts w:ascii="Palatino Linotype" w:hAnsi="Palatino Linotype"/>
          <w:sz w:val="20"/>
          <w:szCs w:val="20"/>
        </w:rPr>
        <w:t xml:space="preserve">), na ktorej podnikaní sa majetkovou účasťou podieľajú len obce alebo združenia obcí,  </w:t>
      </w:r>
    </w:p>
    <w:p w14:paraId="1F4BF634">
      <w:pPr>
        <w:pStyle w:val="23"/>
        <w:numPr>
          <w:ilvl w:val="1"/>
          <w:numId w:val="10"/>
        </w:numPr>
        <w:tabs>
          <w:tab w:val="left" w:pos="284"/>
        </w:tabs>
        <w:spacing w:after="0" w:line="240" w:lineRule="auto"/>
        <w:ind w:left="567" w:hanging="283"/>
        <w:contextualSpacing w:val="0"/>
        <w:jc w:val="both"/>
        <w:rPr>
          <w:rFonts w:ascii="Palatino Linotype" w:hAnsi="Palatino Linotype"/>
          <w:b/>
          <w:bCs/>
          <w:sz w:val="20"/>
          <w:szCs w:val="20"/>
          <w:u w:val="single"/>
        </w:rPr>
      </w:pPr>
      <w:r>
        <w:rPr>
          <w:rFonts w:ascii="Palatino Linotype" w:hAnsi="Palatino Linotype"/>
          <w:sz w:val="20"/>
          <w:szCs w:val="20"/>
        </w:rPr>
        <w:t>združenie (podľa § 20f až 21</w:t>
      </w:r>
      <w:r>
        <w:rPr>
          <w:rFonts w:ascii="Palatino Linotype" w:hAnsi="Palatino Linotype"/>
          <w:i/>
          <w:iCs/>
          <w:sz w:val="20"/>
          <w:szCs w:val="20"/>
        </w:rPr>
        <w:t xml:space="preserve"> </w:t>
      </w:r>
      <w:r>
        <w:rPr>
          <w:rFonts w:ascii="Palatino Linotype" w:hAnsi="Palatino Linotype"/>
          <w:sz w:val="20"/>
          <w:szCs w:val="20"/>
        </w:rPr>
        <w:t xml:space="preserve">zákona č. 40/1964 Zb. Občiansky zákonník v z. n. p. </w:t>
      </w:r>
      <w:r>
        <w:rPr>
          <w:rFonts w:ascii="Palatino Linotype" w:hAnsi="Palatino Linotype"/>
          <w:i/>
          <w:iCs/>
          <w:sz w:val="20"/>
          <w:szCs w:val="20"/>
        </w:rPr>
        <w:t>(ďalej len „Občiansky zákonník“)</w:t>
      </w:r>
      <w:r>
        <w:rPr>
          <w:rFonts w:ascii="Palatino Linotype" w:hAnsi="Palatino Linotype"/>
          <w:sz w:val="20"/>
          <w:szCs w:val="20"/>
        </w:rPr>
        <w:t xml:space="preserve">, § 20b až 20f zákona SNR č. 369/1990 Zb. o obecnom zriadení v z. n. p. </w:t>
      </w:r>
      <w:r>
        <w:rPr>
          <w:rFonts w:ascii="Palatino Linotype" w:hAnsi="Palatino Linotype"/>
          <w:i/>
          <w:iCs/>
          <w:sz w:val="20"/>
          <w:szCs w:val="20"/>
        </w:rPr>
        <w:t>(ďalej len „zákon o obecnom zriadení“)</w:t>
      </w:r>
      <w:r>
        <w:rPr>
          <w:rFonts w:ascii="Palatino Linotype" w:hAnsi="Palatino Linotype"/>
          <w:sz w:val="20"/>
          <w:szCs w:val="20"/>
        </w:rPr>
        <w:t xml:space="preserve"> právnických osôb uvedených v písmenách a) a b) tohto odseku.</w:t>
      </w:r>
    </w:p>
    <w:p w14:paraId="4030E283">
      <w:pPr>
        <w:tabs>
          <w:tab w:val="left" w:pos="284"/>
        </w:tabs>
        <w:jc w:val="both"/>
        <w:rPr>
          <w:rFonts w:ascii="Palatino Linotype" w:hAnsi="Palatino Linotype"/>
          <w:b/>
          <w:bCs/>
          <w:sz w:val="20"/>
          <w:szCs w:val="20"/>
          <w:u w:val="single"/>
        </w:rPr>
      </w:pPr>
    </w:p>
    <w:p w14:paraId="2E6E8938">
      <w:pPr>
        <w:pStyle w:val="23"/>
        <w:numPr>
          <w:ilvl w:val="0"/>
          <w:numId w:val="9"/>
        </w:numPr>
        <w:tabs>
          <w:tab w:val="left" w:pos="284"/>
        </w:tabs>
        <w:spacing w:after="0" w:line="240" w:lineRule="auto"/>
        <w:ind w:left="0" w:firstLine="0"/>
        <w:contextualSpacing w:val="0"/>
        <w:jc w:val="both"/>
        <w:rPr>
          <w:rFonts w:ascii="Palatino Linotype" w:hAnsi="Palatino Linotype"/>
          <w:sz w:val="20"/>
          <w:szCs w:val="20"/>
          <w:u w:val="single"/>
        </w:rPr>
      </w:pPr>
      <w:r>
        <w:rPr>
          <w:rFonts w:ascii="Palatino Linotype" w:hAnsi="Palatino Linotype"/>
          <w:sz w:val="20"/>
          <w:szCs w:val="20"/>
        </w:rPr>
        <w:t xml:space="preserve">Prevod akcií formou obchodnej verejnej súťaže je limitovaný potrebou predchádzajúceho súhlasu VVS, a. s., o ktorom rozhoduje dozorná rada VVS, a. s. na návrh predstavenstva VVS, a. s. podľa čl. V ods. 6 v spojení s ods. 7 a 8 stanov VVS, a. s. a predkupným právom ostatných akcionárov spoločnosti. Dôvodom na odmietnutie udelenia súhlasu VVS, a. s. je podľa čl. V ods. 9 stanov VVS, a. s. výlučne neumožnenie vykonať predkupné právo akcionárom spoločnosti. Súvisiacou podmienkou udelenia súhlasu s prevodom akcií je preukázanie, že akcie, ktorých sa prevod týka, boli ponúknuté na predaj ostatným akcionárom spoločnosti na riadne uplatnenie ich predkupného práva, minimálne 90 dní pred podaním písomnej žiadosti akcionára o udelenie predchádzajúceho súhlasu s prevodom akcií. </w:t>
      </w:r>
    </w:p>
    <w:p w14:paraId="6192E3B6">
      <w:pPr>
        <w:pStyle w:val="23"/>
        <w:tabs>
          <w:tab w:val="left" w:pos="284"/>
        </w:tabs>
        <w:ind w:left="0" w:firstLine="284"/>
        <w:contextualSpacing w:val="0"/>
        <w:jc w:val="both"/>
        <w:rPr>
          <w:rFonts w:ascii="Palatino Linotype" w:hAnsi="Palatino Linotype"/>
          <w:sz w:val="20"/>
          <w:szCs w:val="20"/>
        </w:rPr>
      </w:pPr>
      <w:r>
        <w:rPr>
          <w:rFonts w:ascii="Palatino Linotype" w:hAnsi="Palatino Linotype"/>
          <w:sz w:val="20"/>
          <w:szCs w:val="20"/>
        </w:rPr>
        <w:t xml:space="preserve">Podľa čl. V ods. 11 stanov VVS, a. s.: </w:t>
      </w:r>
      <w:r>
        <w:rPr>
          <w:rFonts w:ascii="Palatino Linotype" w:hAnsi="Palatino Linotype"/>
          <w:i/>
          <w:iCs/>
          <w:sz w:val="20"/>
          <w:szCs w:val="20"/>
        </w:rPr>
        <w:t>„Akcionár, ktorý má záujem o kúpu akcií ponúkaných na predaj, oznámi svoj záujem predávajúcemu a predstavenstvu spoločnosti. Ak akcionár do 60 dní od obdržania alebo zverejnenia ponuky na predaj akcií neoznámi svoj záujem o kúpu akcií, potom platí predpoklad, že o kúpu ponúkaných akcií neprejavil záujem...“.</w:t>
      </w:r>
    </w:p>
    <w:p w14:paraId="5B36AA10">
      <w:pPr>
        <w:pStyle w:val="23"/>
        <w:ind w:left="0" w:firstLine="284"/>
        <w:contextualSpacing w:val="0"/>
        <w:jc w:val="both"/>
        <w:rPr>
          <w:rFonts w:ascii="Palatino Linotype" w:hAnsi="Palatino Linotype"/>
          <w:i/>
          <w:iCs/>
          <w:sz w:val="20"/>
          <w:szCs w:val="20"/>
        </w:rPr>
      </w:pPr>
      <w:r>
        <w:rPr>
          <w:rFonts w:ascii="Palatino Linotype" w:hAnsi="Palatino Linotype"/>
          <w:sz w:val="20"/>
          <w:szCs w:val="20"/>
        </w:rPr>
        <w:t xml:space="preserve">Podľa čl. V ods. 14 stanov VVS, a. s.: </w:t>
      </w:r>
      <w:r>
        <w:rPr>
          <w:rFonts w:ascii="Palatino Linotype" w:hAnsi="Palatino Linotype"/>
          <w:i/>
          <w:iCs/>
          <w:sz w:val="20"/>
          <w:szCs w:val="20"/>
        </w:rPr>
        <w:t>„Prevod akcií bez predchádzajúceho súhlasu spoločnosti udeleného za podmienok a v lehote podľa príslušných odsekov tohto článku je voči spoločnosti neúčinný. Na základe takéhoto prevodu spoločnosť nevykoná zápis zmeny osoby akcionára v Zozname akcionárov spoločnosti. Uvedené nemá vplyv na výnimky z pravidla uvedené v tomto čl. V.“.</w:t>
      </w:r>
    </w:p>
    <w:p w14:paraId="5B2705B2">
      <w:pPr>
        <w:pStyle w:val="23"/>
        <w:ind w:left="0" w:firstLine="284"/>
        <w:contextualSpacing w:val="0"/>
        <w:jc w:val="both"/>
        <w:rPr>
          <w:rFonts w:ascii="Palatino Linotype" w:hAnsi="Palatino Linotype"/>
          <w:i/>
          <w:iCs/>
          <w:sz w:val="20"/>
          <w:szCs w:val="20"/>
        </w:rPr>
      </w:pPr>
      <w:r>
        <w:rPr>
          <w:rFonts w:ascii="Palatino Linotype" w:hAnsi="Palatino Linotype"/>
          <w:sz w:val="20"/>
          <w:szCs w:val="20"/>
        </w:rPr>
        <w:t>Spoločnosť je po splnení týchto podmienok povinná zabezpečiť vykonanie zmeny zápisu v zozname akcionárov bezodkladne po tom, čo jej bude zmena v osobe akcionára preukázaná. Spoločnosť zodpovedá za škodu, ktorá vznikne vyhlasovateľovi súťaže a vybranému účastníkovi súťaže porušením tejto povinnosti.</w:t>
      </w:r>
    </w:p>
    <w:p w14:paraId="03126E5C">
      <w:pPr>
        <w:pStyle w:val="23"/>
        <w:tabs>
          <w:tab w:val="left" w:pos="284"/>
        </w:tabs>
        <w:ind w:left="0"/>
        <w:contextualSpacing w:val="0"/>
        <w:jc w:val="both"/>
        <w:rPr>
          <w:rFonts w:ascii="Palatino Linotype" w:hAnsi="Palatino Linotype"/>
          <w:b/>
          <w:bCs/>
          <w:sz w:val="20"/>
          <w:szCs w:val="20"/>
          <w:u w:val="single"/>
        </w:rPr>
      </w:pPr>
    </w:p>
    <w:p w14:paraId="75207A16">
      <w:pPr>
        <w:pStyle w:val="23"/>
        <w:tabs>
          <w:tab w:val="left" w:pos="284"/>
        </w:tabs>
        <w:ind w:left="0"/>
        <w:contextualSpacing w:val="0"/>
        <w:jc w:val="both"/>
        <w:rPr>
          <w:rFonts w:ascii="Palatino Linotype" w:hAnsi="Palatino Linotype"/>
          <w:sz w:val="20"/>
          <w:szCs w:val="20"/>
        </w:rPr>
      </w:pPr>
      <w:r>
        <w:rPr>
          <w:rFonts w:ascii="Palatino Linotype" w:hAnsi="Palatino Linotype"/>
          <w:sz w:val="20"/>
          <w:szCs w:val="20"/>
        </w:rPr>
        <w:t xml:space="preserve">Vyhlasovateľ súťaže schválil podľa § 11 ods. 4 zákona SNR č. 369/1990 Zb. o obecnom zriadení v z. n. p. (ďalej len „zákon o obecnom zriadení“) zámer prevodu akcií vo VVS, a. s. spôsobom (formou) obchodnej verejnej súťaže uznesením Obecného zastupiteľstva obce Svätá Mária č. xy, ktoré bolo prijaté na xy. rokovaní, konanom xy.xy.xyzz. Uznesením Obecného zastupiteľstva obce Svätá Mária č. xy, ktoré bolo prijaté na xy. rokovaní, konanom xy.xy.xyzz bol podľa § 9 ods. 2 písm. a) v spojení s § 9a ods. 1 písm. a) zákona o majetku obcí schválený spôsob prevodu akcií vo VVS, a. s. formou obchodnej verejnej súťaže. Podmienky súťaže boli schválené podľa § 9 ods. 2 písm. b) v spojení s § 9a ods. 1 písm. a) zákona o majetku obcí uznesením Obecného zastupiteľstva obce Svätá Mária č. xy, ktoré bolo prijaté na xy. rokovaní, konanom xy.xy.xyzz. Uznesením Obecného zastupiteľstva obce Svätá Mária č. xy, ktoré bolo prijaté na xy. rokovaní, konanom xy.xy.xyzz bolo rozhodnuté podľa § 11 ods. 4  zákona o obecnom zriadení o zložení súťažnej komisie na vyhodnotenie súťažných návrhov. Uznesením Obecného zastupiteľstva obce Svätá Mária č. xy, ktoré bolo prijaté na xy. rokovaní, konanom xy.xy.xyzz bolo rozhodnuté podľa § 11 ods. 4  zákona o obecnom zriadení </w:t>
      </w:r>
      <w:r>
        <w:rPr>
          <w:rFonts w:ascii="Palatino Linotype" w:hAnsi="Palatino Linotype"/>
          <w:iCs/>
          <w:sz w:val="20"/>
          <w:szCs w:val="20"/>
        </w:rPr>
        <w:t>o schválení záväzku obce z Put opcie podľa Oddielu B. bod 8 písm. e) týchto podmienok súťaže.</w:t>
      </w:r>
      <w:r>
        <w:rPr>
          <w:rFonts w:ascii="Palatino Linotype" w:hAnsi="Palatino Linotype"/>
          <w:sz w:val="20"/>
          <w:szCs w:val="20"/>
        </w:rPr>
        <w:t xml:space="preserve">  Zámer a spôsob prevodu akcií vo VVS, a. s. boli v intenciách § 9a ods. 2 zákona o majetku obcí zverejnené na úradnej tabuli a webovom sídle obce Svätá Mária.</w:t>
      </w:r>
    </w:p>
    <w:p w14:paraId="79F8A6CF">
      <w:pPr>
        <w:jc w:val="both"/>
        <w:rPr>
          <w:rFonts w:ascii="Palatino Linotype" w:hAnsi="Palatino Linotype"/>
          <w:b/>
          <w:bCs/>
          <w:sz w:val="20"/>
          <w:szCs w:val="20"/>
          <w:u w:val="single"/>
        </w:rPr>
      </w:pPr>
    </w:p>
    <w:p w14:paraId="53245DE4">
      <w:pPr>
        <w:pStyle w:val="23"/>
        <w:numPr>
          <w:ilvl w:val="0"/>
          <w:numId w:val="8"/>
        </w:numPr>
        <w:tabs>
          <w:tab w:val="left" w:pos="284"/>
        </w:tabs>
        <w:spacing w:after="0" w:line="240" w:lineRule="auto"/>
        <w:jc w:val="both"/>
        <w:rPr>
          <w:rFonts w:ascii="Palatino Linotype" w:hAnsi="Palatino Linotype"/>
          <w:b/>
          <w:bCs/>
          <w:sz w:val="20"/>
          <w:szCs w:val="20"/>
          <w:u w:val="single"/>
        </w:rPr>
      </w:pPr>
      <w:r>
        <w:rPr>
          <w:rFonts w:ascii="Palatino Linotype" w:hAnsi="Palatino Linotype"/>
          <w:b/>
          <w:bCs/>
          <w:sz w:val="20"/>
          <w:szCs w:val="20"/>
        </w:rPr>
        <w:t>Predmet požadovaného záväzku a zásady ostatného obsahu zamýšľanej zmluvy</w:t>
      </w:r>
    </w:p>
    <w:p w14:paraId="3532D60F">
      <w:pPr>
        <w:pStyle w:val="23"/>
        <w:tabs>
          <w:tab w:val="left" w:pos="0"/>
        </w:tabs>
        <w:ind w:left="0"/>
        <w:jc w:val="both"/>
        <w:rPr>
          <w:rFonts w:ascii="Palatino Linotype" w:hAnsi="Palatino Linotype"/>
          <w:sz w:val="20"/>
          <w:szCs w:val="20"/>
        </w:rPr>
      </w:pPr>
    </w:p>
    <w:p w14:paraId="7A4ADC4E">
      <w:pPr>
        <w:pStyle w:val="23"/>
        <w:numPr>
          <w:ilvl w:val="0"/>
          <w:numId w:val="11"/>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 xml:space="preserve">Predmetom súťaže je výber najvhodnejšieho návrhu na uzatvorenie zmluvy o odplatnom prevode akcií, ktorých menovitá hodnota tvorí 0,05%-ný podiel na základnom imaní VVS, a. s., podľa § 30 zákona o cenných papieroch v spojení s § 409 a nasl. Obchodného zákonníka medzi vyhlasovateľom súťaže ako prevodcom a vybraným účastníkom súťaže ako nadobúdateľom </w:t>
      </w:r>
      <w:r>
        <w:rPr>
          <w:rFonts w:ascii="Palatino Linotype" w:hAnsi="Palatino Linotype"/>
          <w:i/>
          <w:iCs/>
          <w:sz w:val="20"/>
          <w:szCs w:val="20"/>
        </w:rPr>
        <w:t>(ďalej len „zmluva o prevode akcií“)</w:t>
      </w:r>
      <w:r>
        <w:rPr>
          <w:rFonts w:ascii="Palatino Linotype" w:hAnsi="Palatino Linotype"/>
          <w:sz w:val="20"/>
          <w:szCs w:val="20"/>
        </w:rPr>
        <w:t>.</w:t>
      </w:r>
    </w:p>
    <w:p w14:paraId="24F29AE4">
      <w:pPr>
        <w:pStyle w:val="23"/>
        <w:tabs>
          <w:tab w:val="left" w:pos="0"/>
          <w:tab w:val="left" w:pos="284"/>
        </w:tabs>
        <w:ind w:left="0" w:firstLine="284"/>
        <w:jc w:val="both"/>
        <w:rPr>
          <w:rFonts w:ascii="Palatino Linotype" w:hAnsi="Palatino Linotype"/>
          <w:sz w:val="20"/>
          <w:szCs w:val="20"/>
        </w:rPr>
      </w:pPr>
      <w:r>
        <w:rPr>
          <w:rFonts w:ascii="Palatino Linotype" w:hAnsi="Palatino Linotype"/>
          <w:sz w:val="20"/>
          <w:szCs w:val="20"/>
        </w:rPr>
        <w:t>Objektom súťaže je odplatný prevod vlastníckeho práva k jednotlivo určeným akciám, ktoré nahrádza hromadná akcia série B v majetku vyhlasovateľa súťaže, tvoriacich základné imanie vo VVS, a. s.:</w:t>
      </w:r>
    </w:p>
    <w:p w14:paraId="0A2CEEBA">
      <w:pPr>
        <w:pStyle w:val="23"/>
        <w:numPr>
          <w:ilvl w:val="0"/>
          <w:numId w:val="5"/>
        </w:numPr>
        <w:tabs>
          <w:tab w:val="left" w:pos="284"/>
        </w:tabs>
        <w:spacing w:after="0" w:line="240" w:lineRule="auto"/>
        <w:ind w:left="567" w:hanging="283"/>
        <w:jc w:val="both"/>
        <w:rPr>
          <w:rFonts w:ascii="Palatino Linotype" w:hAnsi="Palatino Linotype"/>
          <w:sz w:val="20"/>
          <w:szCs w:val="20"/>
        </w:rPr>
      </w:pPr>
      <w:r>
        <w:rPr>
          <w:rFonts w:ascii="Palatino Linotype" w:hAnsi="Palatino Linotype"/>
          <w:sz w:val="20"/>
          <w:szCs w:val="20"/>
        </w:rPr>
        <w:t xml:space="preserve">Počet prevádzaných akcií: </w:t>
      </w:r>
      <w:r>
        <w:rPr>
          <w:rFonts w:ascii="Palatino Linotype" w:hAnsi="Palatino Linotype"/>
          <w:b/>
          <w:bCs/>
          <w:sz w:val="20"/>
          <w:szCs w:val="20"/>
        </w:rPr>
        <w:t>akcie v počte 3673 kusov</w:t>
      </w:r>
      <w:r>
        <w:rPr>
          <w:rFonts w:ascii="Palatino Linotype" w:hAnsi="Palatino Linotype"/>
          <w:sz w:val="20"/>
          <w:szCs w:val="20"/>
        </w:rPr>
        <w:t xml:space="preserve">, ktoré </w:t>
      </w:r>
      <w:r>
        <w:rPr>
          <w:rFonts w:ascii="Palatino Linotype" w:hAnsi="Palatino Linotype"/>
          <w:b/>
          <w:bCs/>
          <w:sz w:val="20"/>
          <w:szCs w:val="20"/>
        </w:rPr>
        <w:t xml:space="preserve">nahrádza jeden kus hromadnej akcie série B.  </w:t>
      </w:r>
    </w:p>
    <w:p w14:paraId="78CF1D80">
      <w:pPr>
        <w:pStyle w:val="23"/>
        <w:numPr>
          <w:ilvl w:val="0"/>
          <w:numId w:val="5"/>
        </w:numPr>
        <w:tabs>
          <w:tab w:val="left" w:pos="284"/>
        </w:tabs>
        <w:spacing w:after="0" w:line="240" w:lineRule="auto"/>
        <w:ind w:left="567" w:hanging="283"/>
        <w:jc w:val="both"/>
        <w:rPr>
          <w:rFonts w:ascii="Palatino Linotype" w:hAnsi="Palatino Linotype"/>
          <w:sz w:val="20"/>
          <w:szCs w:val="20"/>
        </w:rPr>
      </w:pPr>
      <w:r>
        <w:rPr>
          <w:rFonts w:ascii="Palatino Linotype" w:hAnsi="Palatino Linotype"/>
          <w:b/>
          <w:bCs/>
          <w:sz w:val="20"/>
          <w:szCs w:val="20"/>
        </w:rPr>
        <w:t> </w:t>
      </w:r>
      <w:r>
        <w:rPr>
          <w:rFonts w:ascii="Palatino Linotype" w:hAnsi="Palatino Linotype"/>
          <w:sz w:val="20"/>
          <w:szCs w:val="20"/>
        </w:rPr>
        <w:t xml:space="preserve">Menovitá hodnota jedného kusu jednotlivo určenej akcie: </w:t>
      </w:r>
      <w:r>
        <w:rPr>
          <w:rFonts w:ascii="Palatino Linotype" w:hAnsi="Palatino Linotype"/>
          <w:b/>
          <w:bCs/>
          <w:sz w:val="20"/>
          <w:szCs w:val="20"/>
        </w:rPr>
        <w:t xml:space="preserve">33,- € </w:t>
      </w:r>
      <w:r>
        <w:rPr>
          <w:rFonts w:ascii="Palatino Linotype" w:hAnsi="Palatino Linotype"/>
          <w:b/>
          <w:bCs/>
          <w:i/>
          <w:iCs/>
          <w:sz w:val="20"/>
          <w:szCs w:val="20"/>
        </w:rPr>
        <w:t>(slovom tridsaťtri eur)</w:t>
      </w:r>
      <w:r>
        <w:rPr>
          <w:rFonts w:ascii="Palatino Linotype" w:hAnsi="Palatino Linotype"/>
          <w:sz w:val="20"/>
          <w:szCs w:val="20"/>
        </w:rPr>
        <w:t>.</w:t>
      </w:r>
    </w:p>
    <w:p w14:paraId="3CAB9FBA">
      <w:pPr>
        <w:pStyle w:val="23"/>
        <w:tabs>
          <w:tab w:val="left" w:pos="284"/>
        </w:tabs>
        <w:ind w:left="567"/>
        <w:jc w:val="both"/>
        <w:rPr>
          <w:rFonts w:ascii="Palatino Linotype" w:hAnsi="Palatino Linotype"/>
          <w:sz w:val="20"/>
          <w:szCs w:val="20"/>
        </w:rPr>
      </w:pPr>
      <w:r>
        <w:rPr>
          <w:rFonts w:ascii="Palatino Linotype" w:hAnsi="Palatino Linotype"/>
          <w:sz w:val="20"/>
          <w:szCs w:val="20"/>
        </w:rPr>
        <w:t>Súhrnná menovitá hodnota prevádzanej hromadnej akcie série B je tvorená súčtom menovitých hodnôt jednotlivo určených akcií toho istého druhu, ktoré hromadná akcia série B nahrádza.</w:t>
      </w:r>
    </w:p>
    <w:p w14:paraId="1F1B6F86">
      <w:pPr>
        <w:pStyle w:val="23"/>
        <w:numPr>
          <w:ilvl w:val="0"/>
          <w:numId w:val="5"/>
        </w:numPr>
        <w:tabs>
          <w:tab w:val="left" w:pos="284"/>
        </w:tabs>
        <w:spacing w:after="0" w:line="240" w:lineRule="auto"/>
        <w:ind w:left="567" w:hanging="283"/>
        <w:jc w:val="both"/>
        <w:rPr>
          <w:rFonts w:ascii="Palatino Linotype" w:hAnsi="Palatino Linotype"/>
          <w:sz w:val="20"/>
          <w:szCs w:val="20"/>
        </w:rPr>
      </w:pPr>
      <w:r>
        <w:rPr>
          <w:rFonts w:ascii="Palatino Linotype" w:hAnsi="Palatino Linotype"/>
          <w:sz w:val="20"/>
          <w:szCs w:val="20"/>
        </w:rPr>
        <w:t xml:space="preserve">Podoba akcií, ktoré hromadná akcia série B nahrádza: </w:t>
      </w:r>
      <w:r>
        <w:rPr>
          <w:rFonts w:ascii="Palatino Linotype" w:hAnsi="Palatino Linotype"/>
          <w:b/>
          <w:bCs/>
          <w:sz w:val="20"/>
          <w:szCs w:val="20"/>
        </w:rPr>
        <w:t>listinné</w:t>
      </w:r>
      <w:r>
        <w:rPr>
          <w:rFonts w:ascii="Palatino Linotype" w:hAnsi="Palatino Linotype"/>
          <w:sz w:val="20"/>
          <w:szCs w:val="20"/>
        </w:rPr>
        <w:t>.</w:t>
      </w:r>
    </w:p>
    <w:p w14:paraId="7A92300F">
      <w:pPr>
        <w:pStyle w:val="23"/>
        <w:numPr>
          <w:ilvl w:val="0"/>
          <w:numId w:val="5"/>
        </w:numPr>
        <w:tabs>
          <w:tab w:val="left" w:pos="284"/>
        </w:tabs>
        <w:spacing w:after="0" w:line="240" w:lineRule="auto"/>
        <w:ind w:left="567" w:hanging="283"/>
        <w:jc w:val="both"/>
        <w:rPr>
          <w:rFonts w:ascii="Palatino Linotype" w:hAnsi="Palatino Linotype"/>
          <w:sz w:val="20"/>
          <w:szCs w:val="20"/>
        </w:rPr>
      </w:pPr>
      <w:r>
        <w:rPr>
          <w:rFonts w:ascii="Palatino Linotype" w:hAnsi="Palatino Linotype"/>
          <w:sz w:val="20"/>
          <w:szCs w:val="20"/>
        </w:rPr>
        <w:t xml:space="preserve">Forma akcií, ktoré hromadná akcia série B nahrádza: </w:t>
      </w:r>
      <w:r>
        <w:rPr>
          <w:rFonts w:ascii="Palatino Linotype" w:hAnsi="Palatino Linotype"/>
          <w:b/>
          <w:bCs/>
          <w:sz w:val="20"/>
          <w:szCs w:val="20"/>
        </w:rPr>
        <w:t>na meno</w:t>
      </w:r>
      <w:r>
        <w:rPr>
          <w:rFonts w:ascii="Palatino Linotype" w:hAnsi="Palatino Linotype"/>
          <w:sz w:val="20"/>
          <w:szCs w:val="20"/>
        </w:rPr>
        <w:t>.</w:t>
      </w:r>
    </w:p>
    <w:p w14:paraId="554A9B1F">
      <w:pPr>
        <w:pStyle w:val="23"/>
        <w:numPr>
          <w:ilvl w:val="0"/>
          <w:numId w:val="5"/>
        </w:numPr>
        <w:tabs>
          <w:tab w:val="left" w:pos="284"/>
        </w:tabs>
        <w:spacing w:after="0" w:line="240" w:lineRule="auto"/>
        <w:ind w:left="567" w:hanging="283"/>
        <w:jc w:val="both"/>
        <w:rPr>
          <w:rFonts w:ascii="Palatino Linotype" w:hAnsi="Palatino Linotype"/>
          <w:sz w:val="20"/>
          <w:szCs w:val="20"/>
        </w:rPr>
      </w:pPr>
      <w:r>
        <w:rPr>
          <w:rFonts w:ascii="Palatino Linotype" w:hAnsi="Palatino Linotype"/>
          <w:sz w:val="20"/>
          <w:szCs w:val="20"/>
        </w:rPr>
        <w:t xml:space="preserve">Druh akcií, ktoré hromadná akcia série B nahrádza: </w:t>
      </w:r>
      <w:r>
        <w:rPr>
          <w:rFonts w:ascii="Palatino Linotype" w:hAnsi="Palatino Linotype"/>
          <w:b/>
          <w:bCs/>
          <w:sz w:val="20"/>
          <w:szCs w:val="20"/>
        </w:rPr>
        <w:t>kmeňové s obmedzenou prevoditeľnosťou</w:t>
      </w:r>
      <w:r>
        <w:rPr>
          <w:rFonts w:ascii="Palatino Linotype" w:hAnsi="Palatino Linotype"/>
          <w:sz w:val="20"/>
          <w:szCs w:val="20"/>
        </w:rPr>
        <w:t>.</w:t>
      </w:r>
      <w:r>
        <w:rPr>
          <w:rFonts w:ascii="Palatino Linotype" w:hAnsi="Palatino Linotype"/>
          <w:b/>
          <w:bCs/>
          <w:sz w:val="20"/>
          <w:szCs w:val="20"/>
        </w:rPr>
        <w:t> </w:t>
      </w:r>
    </w:p>
    <w:p w14:paraId="2A2DCEDA">
      <w:pPr>
        <w:pStyle w:val="23"/>
        <w:numPr>
          <w:ilvl w:val="0"/>
          <w:numId w:val="5"/>
        </w:numPr>
        <w:tabs>
          <w:tab w:val="left" w:pos="284"/>
        </w:tabs>
        <w:spacing w:after="0" w:line="240" w:lineRule="auto"/>
        <w:ind w:left="567" w:hanging="283"/>
        <w:jc w:val="both"/>
        <w:rPr>
          <w:rFonts w:ascii="Palatino Linotype" w:hAnsi="Palatino Linotype"/>
          <w:sz w:val="20"/>
          <w:szCs w:val="20"/>
        </w:rPr>
      </w:pPr>
      <w:r>
        <w:rPr>
          <w:rFonts w:ascii="Palatino Linotype" w:hAnsi="Palatino Linotype"/>
          <w:sz w:val="20"/>
          <w:szCs w:val="20"/>
        </w:rPr>
        <w:t xml:space="preserve">ISIN akcií: </w:t>
      </w:r>
      <w:r>
        <w:rPr>
          <w:rFonts w:ascii="Palatino Linotype" w:hAnsi="Palatino Linotype"/>
          <w:b/>
          <w:bCs/>
          <w:sz w:val="20"/>
          <w:szCs w:val="20"/>
        </w:rPr>
        <w:t>nebol pridelený</w:t>
      </w:r>
      <w:r>
        <w:rPr>
          <w:rFonts w:ascii="Palatino Linotype" w:hAnsi="Palatino Linotype"/>
          <w:sz w:val="20"/>
          <w:szCs w:val="20"/>
        </w:rPr>
        <w:t>.</w:t>
      </w:r>
    </w:p>
    <w:p w14:paraId="3A654BD3">
      <w:pPr>
        <w:pStyle w:val="23"/>
        <w:tabs>
          <w:tab w:val="left" w:pos="0"/>
          <w:tab w:val="left" w:pos="284"/>
        </w:tabs>
        <w:ind w:left="0"/>
        <w:jc w:val="both"/>
        <w:rPr>
          <w:rFonts w:ascii="Palatino Linotype" w:hAnsi="Palatino Linotype"/>
          <w:b/>
          <w:bCs/>
          <w:sz w:val="20"/>
          <w:szCs w:val="20"/>
        </w:rPr>
      </w:pPr>
    </w:p>
    <w:p w14:paraId="5B1AB431">
      <w:pPr>
        <w:pStyle w:val="23"/>
        <w:numPr>
          <w:ilvl w:val="0"/>
          <w:numId w:val="11"/>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 xml:space="preserve">Účelom súťaže je prijatie najvhodnejšieho návrhu na uzatvorenie zmluvy o prevode akcií, respektíve návrhu, ktorý vyhlasovateľovi súťaže najlepšie vyhovuje podľa Oddielu H. bod 4 podmienok súťaže, po kumulatívnom splnení všetkých podmienok súťaže. </w:t>
      </w:r>
    </w:p>
    <w:p w14:paraId="2A7FB423">
      <w:pPr>
        <w:pStyle w:val="23"/>
        <w:tabs>
          <w:tab w:val="left" w:pos="0"/>
          <w:tab w:val="left" w:pos="284"/>
        </w:tabs>
        <w:ind w:left="0"/>
        <w:jc w:val="both"/>
        <w:rPr>
          <w:rFonts w:ascii="Palatino Linotype" w:hAnsi="Palatino Linotype"/>
          <w:b/>
          <w:bCs/>
          <w:sz w:val="20"/>
          <w:szCs w:val="20"/>
        </w:rPr>
      </w:pPr>
    </w:p>
    <w:p w14:paraId="002E719E">
      <w:pPr>
        <w:pStyle w:val="23"/>
        <w:numPr>
          <w:ilvl w:val="0"/>
          <w:numId w:val="11"/>
        </w:numPr>
        <w:tabs>
          <w:tab w:val="left" w:pos="0"/>
          <w:tab w:val="left" w:pos="284"/>
        </w:tabs>
        <w:spacing w:after="0" w:line="240" w:lineRule="auto"/>
        <w:ind w:left="0" w:firstLine="0"/>
        <w:contextualSpacing w:val="0"/>
        <w:jc w:val="both"/>
        <w:rPr>
          <w:rFonts w:ascii="Palatino Linotype" w:hAnsi="Palatino Linotype"/>
          <w:b/>
          <w:bCs/>
          <w:sz w:val="20"/>
          <w:szCs w:val="20"/>
        </w:rPr>
      </w:pPr>
      <w:r>
        <w:rPr>
          <w:rFonts w:ascii="Palatino Linotype" w:hAnsi="Palatino Linotype"/>
          <w:sz w:val="20"/>
          <w:szCs w:val="20"/>
        </w:rPr>
        <w:t>Akcia predstavuje práva akcionára ako spoločníka podieľať sa podľa zákona a stanov spoločnosti na jej riadení, zisku a na likvidačnom zostatku po zrušení spoločnosti s likvidáciou, ktoré sú spojené s akciou ako s cenným papierom, ak zákon neustanovuje inak.</w:t>
      </w:r>
    </w:p>
    <w:p w14:paraId="10C97824">
      <w:pPr>
        <w:pStyle w:val="23"/>
        <w:tabs>
          <w:tab w:val="left" w:pos="0"/>
          <w:tab w:val="left" w:pos="284"/>
        </w:tabs>
        <w:ind w:left="0"/>
        <w:contextualSpacing w:val="0"/>
        <w:jc w:val="both"/>
        <w:rPr>
          <w:rFonts w:ascii="Palatino Linotype" w:hAnsi="Palatino Linotype"/>
          <w:b/>
          <w:bCs/>
          <w:sz w:val="20"/>
          <w:szCs w:val="20"/>
        </w:rPr>
      </w:pPr>
    </w:p>
    <w:p w14:paraId="1C12CA55">
      <w:pPr>
        <w:pStyle w:val="23"/>
        <w:numPr>
          <w:ilvl w:val="0"/>
          <w:numId w:val="11"/>
        </w:numPr>
        <w:tabs>
          <w:tab w:val="left" w:pos="0"/>
          <w:tab w:val="left" w:pos="284"/>
        </w:tabs>
        <w:spacing w:after="0" w:line="240" w:lineRule="auto"/>
        <w:ind w:left="0" w:firstLine="0"/>
        <w:contextualSpacing w:val="0"/>
        <w:jc w:val="both"/>
        <w:rPr>
          <w:rFonts w:ascii="Palatino Linotype" w:hAnsi="Palatino Linotype"/>
          <w:b/>
          <w:bCs/>
          <w:sz w:val="20"/>
          <w:szCs w:val="20"/>
        </w:rPr>
      </w:pPr>
      <w:r>
        <w:rPr>
          <w:rFonts w:ascii="Palatino Linotype" w:hAnsi="Palatino Linotype"/>
          <w:sz w:val="20"/>
          <w:szCs w:val="20"/>
        </w:rPr>
        <w:t>Predmetom záväzku vybraného účastníka súťaže, ktorého návrh bol prijatý a zmluva nadobudla účinnosť, je povinnosť uhradiť ním navrhovanú kúpnu cenu za hromadnú akciu nahrádzajúcu jednotlivo určené akcie v majetku vyhlasovateľa súťaže a hromadnú akciu prevziať. Synalagmatickým záväzkom vyhlasovateľa súťaže je hromadnú akciu odovzdať a previesť vlastnícke právo k nej. Tým nie sú dotknuté ďalšie ustanovenia týchto podmienok súťaže, osobitne právo vyhlasovateľa súťaže odmietnuť všetky návrhy a súťaž zrušiť. Vyhlasovateľ súťaže po výbere najvhodnejšej ponuky zabezpečí modifikáciu pôvodnej hromadnej akcie, na novú hromadnú akciu série B nahrádzajúcu jednotlivo určené akcie, ktoré majú byť predmetom prevodu a novú jednotlivo určenú akciu, ktorú si ponechá vo svojom vlastníctve.</w:t>
      </w:r>
    </w:p>
    <w:p w14:paraId="17E8EB24">
      <w:pPr>
        <w:pStyle w:val="23"/>
        <w:tabs>
          <w:tab w:val="left" w:pos="0"/>
          <w:tab w:val="left" w:pos="284"/>
        </w:tabs>
        <w:ind w:left="0"/>
        <w:contextualSpacing w:val="0"/>
        <w:jc w:val="both"/>
        <w:rPr>
          <w:rFonts w:ascii="Palatino Linotype" w:hAnsi="Palatino Linotype"/>
          <w:b/>
          <w:bCs/>
          <w:sz w:val="20"/>
          <w:szCs w:val="20"/>
        </w:rPr>
      </w:pPr>
    </w:p>
    <w:p w14:paraId="5D917BF9">
      <w:pPr>
        <w:pStyle w:val="23"/>
        <w:numPr>
          <w:ilvl w:val="0"/>
          <w:numId w:val="11"/>
        </w:numPr>
        <w:tabs>
          <w:tab w:val="left" w:pos="0"/>
          <w:tab w:val="left" w:pos="284"/>
        </w:tabs>
        <w:spacing w:after="0" w:line="240" w:lineRule="auto"/>
        <w:ind w:left="0" w:firstLine="0"/>
        <w:contextualSpacing w:val="0"/>
        <w:jc w:val="both"/>
        <w:rPr>
          <w:rFonts w:ascii="Palatino Linotype" w:hAnsi="Palatino Linotype"/>
          <w:b/>
          <w:bCs/>
          <w:sz w:val="20"/>
          <w:szCs w:val="20"/>
        </w:rPr>
      </w:pPr>
      <w:r>
        <w:rPr>
          <w:rFonts w:ascii="Palatino Linotype" w:hAnsi="Palatino Linotype"/>
          <w:sz w:val="20"/>
          <w:szCs w:val="20"/>
        </w:rPr>
        <w:t xml:space="preserve">Zámerom vyhlasovateľa súťaže je ponechať si vo svojom výlučnom vlastníctve 1 </w:t>
      </w:r>
      <w:r>
        <w:rPr>
          <w:rFonts w:ascii="Palatino Linotype" w:hAnsi="Palatino Linotype"/>
          <w:i/>
          <w:iCs/>
          <w:sz w:val="20"/>
          <w:szCs w:val="20"/>
        </w:rPr>
        <w:t>(slovom jednu)</w:t>
      </w:r>
      <w:r>
        <w:rPr>
          <w:rFonts w:ascii="Palatino Linotype" w:hAnsi="Palatino Linotype"/>
          <w:sz w:val="20"/>
          <w:szCs w:val="20"/>
        </w:rPr>
        <w:t xml:space="preserve"> jednotlivo určenú akciu na základnom imaní VVS, a. s..</w:t>
      </w:r>
    </w:p>
    <w:p w14:paraId="314DECA1">
      <w:pPr>
        <w:pStyle w:val="23"/>
        <w:tabs>
          <w:tab w:val="left" w:pos="0"/>
          <w:tab w:val="left" w:pos="284"/>
        </w:tabs>
        <w:ind w:left="0"/>
        <w:contextualSpacing w:val="0"/>
        <w:jc w:val="both"/>
        <w:rPr>
          <w:rFonts w:ascii="Palatino Linotype" w:hAnsi="Palatino Linotype"/>
          <w:b/>
          <w:bCs/>
          <w:sz w:val="20"/>
          <w:szCs w:val="20"/>
        </w:rPr>
      </w:pPr>
    </w:p>
    <w:p w14:paraId="157BA8EB">
      <w:pPr>
        <w:pStyle w:val="23"/>
        <w:numPr>
          <w:ilvl w:val="0"/>
          <w:numId w:val="11"/>
        </w:numPr>
        <w:tabs>
          <w:tab w:val="left" w:pos="0"/>
          <w:tab w:val="left" w:pos="284"/>
        </w:tabs>
        <w:spacing w:after="0" w:line="240" w:lineRule="auto"/>
        <w:ind w:left="0" w:firstLine="0"/>
        <w:contextualSpacing w:val="0"/>
        <w:jc w:val="both"/>
        <w:rPr>
          <w:rFonts w:ascii="Palatino Linotype" w:hAnsi="Palatino Linotype"/>
          <w:b/>
          <w:bCs/>
          <w:sz w:val="20"/>
          <w:szCs w:val="20"/>
        </w:rPr>
      </w:pPr>
      <w:r>
        <w:rPr>
          <w:rFonts w:ascii="Palatino Linotype" w:hAnsi="Palatino Linotype"/>
          <w:sz w:val="20"/>
          <w:szCs w:val="20"/>
        </w:rPr>
        <w:t xml:space="preserve">Prevod akcií spoločnosti sa uskutočňuje rubopisom a odovzdaním akcie. Rubopis musí obsahovať obchodné meno alebo názov, sídlo a identifikačné číslo právnickej osoby, ak je pridelené, ktorá je nadobúdateľom akcie, podpis akcionára, ktorý akciu na meno prevádza, a deň prevodu akcie na meno. O odovzdaní a prevzatí prevádzaných akcií vyhotovia vyhlasovateľ súťaže a vybraný účastník súťaže, s ktorým zmluva nadobudla účinnosť, protokol o odovzdaní a prevzatí akcie. Uvedené platí analogicky aj na prevod novej hromadnej akcie série B. </w:t>
      </w:r>
    </w:p>
    <w:p w14:paraId="440BFD56">
      <w:pPr>
        <w:tabs>
          <w:tab w:val="left" w:pos="0"/>
          <w:tab w:val="left" w:pos="284"/>
        </w:tabs>
        <w:jc w:val="both"/>
        <w:rPr>
          <w:rFonts w:ascii="Palatino Linotype" w:hAnsi="Palatino Linotype"/>
          <w:b/>
          <w:bCs/>
          <w:sz w:val="20"/>
          <w:szCs w:val="20"/>
        </w:rPr>
      </w:pPr>
    </w:p>
    <w:p w14:paraId="1B02AE67">
      <w:pPr>
        <w:pStyle w:val="23"/>
        <w:numPr>
          <w:ilvl w:val="0"/>
          <w:numId w:val="11"/>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 xml:space="preserve">Vyhlasovateľ súťaže </w:t>
      </w:r>
      <w:r>
        <w:rPr>
          <w:rFonts w:ascii="Palatino Linotype" w:hAnsi="Palatino Linotype"/>
          <w:b/>
          <w:bCs/>
          <w:sz w:val="20"/>
          <w:szCs w:val="20"/>
        </w:rPr>
        <w:t xml:space="preserve">stanovuje minimálnu sumu kúpnej ceny za prevod jedného kusu jednotlivo určenej akcie vo VVS, a. s. v celkovej výške 13,27,- € </w:t>
      </w:r>
      <w:r>
        <w:rPr>
          <w:rFonts w:ascii="Palatino Linotype" w:hAnsi="Palatino Linotype"/>
          <w:b/>
          <w:bCs/>
          <w:i/>
          <w:iCs/>
          <w:sz w:val="20"/>
          <w:szCs w:val="20"/>
        </w:rPr>
        <w:t>(slovom trinásť eur dvadsaťsedem centov)</w:t>
      </w:r>
      <w:r>
        <w:rPr>
          <w:rFonts w:ascii="Palatino Linotype" w:hAnsi="Palatino Linotype"/>
          <w:sz w:val="20"/>
          <w:szCs w:val="20"/>
        </w:rPr>
        <w:t xml:space="preserve">. Kúpna cena za prevod akcií bude vyhlasovateľovi súťaže uhradená bezhotovostným prevodom na účet vyhlasovateľa súťaže v tvare </w:t>
      </w:r>
      <w:r>
        <w:rPr>
          <w:rFonts w:ascii="Palatino Linotype" w:hAnsi="Palatino Linotype"/>
          <w:bCs/>
          <w:sz w:val="20"/>
          <w:szCs w:val="20"/>
        </w:rPr>
        <w:t xml:space="preserve">IBAN: SK ..............................................................., vedený v označenie peňažného ústavu, najneskôr v deň odovzdania hromadnej akcie série B vyhlasovateľom súťaže a prevzatia vybraným účastníkom súťaže. Minimálna suma kúpnej ceny bola určená na podklade uznesenia valného zhromaždenia VVS, a. s. zo dňa 22.06.2023, ktorým bolo rozhodnuté o intervale návrhu kúpnej ceny, ak nadobúdateľom akcií bude emitent (VVS, a. s.), a to v rozmedzí od 13,27,- € </w:t>
      </w:r>
      <w:r>
        <w:rPr>
          <w:rFonts w:ascii="Palatino Linotype" w:hAnsi="Palatino Linotype"/>
          <w:i/>
          <w:iCs/>
          <w:sz w:val="20"/>
          <w:szCs w:val="20"/>
        </w:rPr>
        <w:t>(slovom trinásť eur dvadsaťsedem centov) do 13,29,- € (slovom trinásť eur dvadsaťdeväť centov).</w:t>
      </w:r>
    </w:p>
    <w:p w14:paraId="50E956F2">
      <w:pPr>
        <w:pStyle w:val="23"/>
        <w:tabs>
          <w:tab w:val="left" w:pos="0"/>
          <w:tab w:val="left" w:pos="284"/>
        </w:tabs>
        <w:ind w:left="0"/>
        <w:jc w:val="both"/>
        <w:rPr>
          <w:rFonts w:ascii="Palatino Linotype" w:hAnsi="Palatino Linotype"/>
          <w:b/>
          <w:bCs/>
          <w:sz w:val="20"/>
          <w:szCs w:val="20"/>
        </w:rPr>
      </w:pPr>
    </w:p>
    <w:p w14:paraId="22B95E3A">
      <w:pPr>
        <w:pStyle w:val="23"/>
        <w:numPr>
          <w:ilvl w:val="0"/>
          <w:numId w:val="11"/>
        </w:numPr>
        <w:tabs>
          <w:tab w:val="left" w:pos="0"/>
          <w:tab w:val="left" w:pos="284"/>
        </w:tabs>
        <w:spacing w:after="0" w:line="240" w:lineRule="auto"/>
        <w:ind w:left="0" w:firstLine="0"/>
        <w:contextualSpacing w:val="0"/>
        <w:jc w:val="both"/>
        <w:rPr>
          <w:rFonts w:ascii="Palatino Linotype" w:hAnsi="Palatino Linotype"/>
          <w:b/>
          <w:bCs/>
          <w:sz w:val="20"/>
          <w:szCs w:val="20"/>
        </w:rPr>
      </w:pPr>
      <w:r>
        <w:rPr>
          <w:rFonts w:ascii="Palatino Linotype" w:hAnsi="Palatino Linotype"/>
          <w:sz w:val="20"/>
          <w:szCs w:val="20"/>
        </w:rPr>
        <w:t xml:space="preserve"> Navrhovateľ v súťažnom návrhu obligatórne uvedie podstatné náležitosti zmluvy o prevode akcií podľa príslušnej právnej úpravy. Súťažný návrh navrhovateľa musí, okrem iného, obsahovať tiež najmä:</w:t>
      </w:r>
    </w:p>
    <w:p w14:paraId="3C60A885">
      <w:pPr>
        <w:pStyle w:val="23"/>
        <w:numPr>
          <w:ilvl w:val="0"/>
          <w:numId w:val="12"/>
        </w:numPr>
        <w:tabs>
          <w:tab w:val="left" w:pos="0"/>
          <w:tab w:val="left" w:pos="284"/>
        </w:tabs>
        <w:spacing w:after="0" w:line="240" w:lineRule="auto"/>
        <w:ind w:left="567" w:hanging="283"/>
        <w:contextualSpacing w:val="0"/>
        <w:jc w:val="both"/>
        <w:rPr>
          <w:rFonts w:ascii="Palatino Linotype" w:hAnsi="Palatino Linotype"/>
          <w:b/>
          <w:bCs/>
          <w:sz w:val="20"/>
          <w:szCs w:val="20"/>
        </w:rPr>
      </w:pPr>
      <w:r>
        <w:rPr>
          <w:rFonts w:ascii="Palatino Linotype" w:hAnsi="Palatino Linotype"/>
          <w:sz w:val="20"/>
          <w:szCs w:val="20"/>
        </w:rPr>
        <w:t>návrh navrhovateľa na odkúpenie konkrétneho počtu kusov jednotlivo určených akcií, ktoré hromadná akcia nahrádza;</w:t>
      </w:r>
    </w:p>
    <w:p w14:paraId="632DBACD">
      <w:pPr>
        <w:pStyle w:val="23"/>
        <w:numPr>
          <w:ilvl w:val="0"/>
          <w:numId w:val="12"/>
        </w:numPr>
        <w:tabs>
          <w:tab w:val="left" w:pos="0"/>
          <w:tab w:val="left" w:pos="284"/>
        </w:tabs>
        <w:spacing w:after="0" w:line="240" w:lineRule="auto"/>
        <w:ind w:left="567" w:hanging="283"/>
        <w:contextualSpacing w:val="0"/>
        <w:jc w:val="both"/>
        <w:rPr>
          <w:rFonts w:ascii="Palatino Linotype" w:hAnsi="Palatino Linotype"/>
          <w:b/>
          <w:bCs/>
          <w:sz w:val="20"/>
          <w:szCs w:val="20"/>
        </w:rPr>
      </w:pPr>
      <w:r>
        <w:rPr>
          <w:rFonts w:ascii="Palatino Linotype" w:hAnsi="Palatino Linotype"/>
          <w:sz w:val="20"/>
          <w:szCs w:val="20"/>
        </w:rPr>
        <w:t>sériu hromadnej akcie, ktorá má byť predmetom prevodu;</w:t>
      </w:r>
    </w:p>
    <w:p w14:paraId="6C64250F">
      <w:pPr>
        <w:pStyle w:val="23"/>
        <w:numPr>
          <w:ilvl w:val="0"/>
          <w:numId w:val="12"/>
        </w:numPr>
        <w:tabs>
          <w:tab w:val="left" w:pos="0"/>
          <w:tab w:val="left" w:pos="284"/>
        </w:tabs>
        <w:spacing w:after="0" w:line="240" w:lineRule="auto"/>
        <w:ind w:left="567" w:hanging="283"/>
        <w:contextualSpacing w:val="0"/>
        <w:jc w:val="both"/>
        <w:rPr>
          <w:rFonts w:ascii="Palatino Linotype" w:hAnsi="Palatino Linotype"/>
          <w:b/>
          <w:bCs/>
          <w:sz w:val="20"/>
          <w:szCs w:val="20"/>
        </w:rPr>
      </w:pPr>
      <w:r>
        <w:rPr>
          <w:rFonts w:ascii="Palatino Linotype" w:hAnsi="Palatino Linotype"/>
          <w:sz w:val="20"/>
          <w:szCs w:val="20"/>
        </w:rPr>
        <w:t>návrh súhrnnej kúpnej ceny za prevod akcií;</w:t>
      </w:r>
    </w:p>
    <w:p w14:paraId="58EEA171">
      <w:pPr>
        <w:pStyle w:val="23"/>
        <w:numPr>
          <w:ilvl w:val="0"/>
          <w:numId w:val="12"/>
        </w:numPr>
        <w:tabs>
          <w:tab w:val="left" w:pos="0"/>
          <w:tab w:val="left" w:pos="284"/>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 xml:space="preserve">záväzok navrhovateľa spočívajúci v odplatnom prevode vlastníckeho práva ku konkrétnemu počtu dlhopisov Voda Spieva I. emitovaných VVS, a. s. za konkrétnu  upisovaciu/kúpnu cenu v prospech vyhlasovateľa súťaže. Dlhopismi sa na účely týchto súťažných podmienok rozumejú nezabezpečené dlhopisy vydané podľa slovenského práva s pevným úrokovým výnosom vo výške 6,00 % p. a. vo forme na meno, v zaknihovanej podobe, v menovitej hodnote 13,28,- € </w:t>
      </w:r>
      <w:r>
        <w:rPr>
          <w:rFonts w:ascii="Palatino Linotype" w:hAnsi="Palatino Linotype"/>
          <w:i/>
          <w:iCs/>
          <w:sz w:val="20"/>
          <w:szCs w:val="20"/>
        </w:rPr>
        <w:t>(slovom trinásť eur dvadsaťosem centov)</w:t>
      </w:r>
      <w:r>
        <w:rPr>
          <w:rFonts w:ascii="Palatino Linotype" w:hAnsi="Palatino Linotype"/>
          <w:sz w:val="20"/>
          <w:szCs w:val="20"/>
        </w:rPr>
        <w:t>, splatné v roku 2044, s právom predčasného splatenia zo strany emitenta počnúc rokom 2034, ISIN: SK4000023198. Počet prevádzaných dlhopisov by mal byť totožný s počtom kusov jednotlivo určených akcií podľa písmena a) a navrhovaná upisovacia/kúpna cena   by mala byť (avšak nemusí) maximálne v sume súčtu/súčtov menovitej hodnoty prevádzaných dlhopisov.;</w:t>
      </w:r>
    </w:p>
    <w:p w14:paraId="55B44298">
      <w:pPr>
        <w:pStyle w:val="23"/>
        <w:numPr>
          <w:ilvl w:val="0"/>
          <w:numId w:val="12"/>
        </w:numPr>
        <w:tabs>
          <w:tab w:val="left" w:pos="0"/>
          <w:tab w:val="left" w:pos="284"/>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 xml:space="preserve">oprávnenie navrhovateľa požadovať predaj ergo kúpu zo strany vyhlasovateľa súťaže všetkých prevádzaných akcií, s kúpnou cenou min 13,27,- € </w:t>
      </w:r>
      <w:r>
        <w:rPr>
          <w:rFonts w:ascii="Palatino Linotype" w:hAnsi="Palatino Linotype"/>
          <w:i/>
          <w:iCs/>
          <w:sz w:val="20"/>
          <w:szCs w:val="20"/>
        </w:rPr>
        <w:t xml:space="preserve">(slovom trinásť eur dvadsaťsedem centov) </w:t>
      </w:r>
      <w:r>
        <w:rPr>
          <w:rFonts w:ascii="Palatino Linotype" w:hAnsi="Palatino Linotype"/>
          <w:sz w:val="20"/>
          <w:szCs w:val="20"/>
        </w:rPr>
        <w:t>za</w:t>
      </w:r>
      <w:r>
        <w:rPr>
          <w:rFonts w:ascii="Palatino Linotype" w:hAnsi="Palatino Linotype"/>
          <w:i/>
          <w:iCs/>
          <w:sz w:val="20"/>
          <w:szCs w:val="20"/>
        </w:rPr>
        <w:t xml:space="preserve"> </w:t>
      </w:r>
      <w:r>
        <w:rPr>
          <w:rFonts w:ascii="Palatino Linotype" w:hAnsi="Palatino Linotype"/>
          <w:sz w:val="20"/>
          <w:szCs w:val="20"/>
        </w:rPr>
        <w:t xml:space="preserve">1 </w:t>
      </w:r>
      <w:r>
        <w:rPr>
          <w:rFonts w:ascii="Palatino Linotype" w:hAnsi="Palatino Linotype"/>
          <w:i/>
          <w:iCs/>
          <w:sz w:val="20"/>
          <w:szCs w:val="20"/>
        </w:rPr>
        <w:t>(slovom jednu)</w:t>
      </w:r>
      <w:r>
        <w:rPr>
          <w:rFonts w:ascii="Palatino Linotype" w:hAnsi="Palatino Linotype"/>
          <w:sz w:val="20"/>
          <w:szCs w:val="20"/>
        </w:rPr>
        <w:t xml:space="preserve"> jednotlivo určenú akciu, nezaťažených akýmikoľvek právami tretích osôb k dátumu oznámenia o realizácii Put opcie v prospech vyhlasovateľa súťaže </w:t>
      </w:r>
      <w:r>
        <w:rPr>
          <w:rFonts w:ascii="Palatino Linotype" w:hAnsi="Palatino Linotype"/>
          <w:i/>
          <w:iCs/>
          <w:sz w:val="20"/>
          <w:szCs w:val="20"/>
        </w:rPr>
        <w:t>(ďalej aj „Put opcia“)</w:t>
      </w:r>
      <w:r>
        <w:rPr>
          <w:rFonts w:ascii="Palatino Linotype" w:hAnsi="Palatino Linotype"/>
          <w:sz w:val="20"/>
          <w:szCs w:val="20"/>
        </w:rPr>
        <w:t>. Z Put opcie vyplýva vyhlasovateľovi súťaže povinnosť akcie kúpiť, prevziať a zaplatiť kúpnu cenu podľa predchádzajúcej vety. Celková kúpna cena bude určená ako násobok kúpnej ceny za 1</w:t>
      </w:r>
      <w:r>
        <w:rPr>
          <w:rFonts w:ascii="Palatino Linotype" w:hAnsi="Palatino Linotype"/>
          <w:i/>
          <w:iCs/>
          <w:sz w:val="20"/>
          <w:szCs w:val="20"/>
        </w:rPr>
        <w:t xml:space="preserve"> (slovom jednu)</w:t>
      </w:r>
      <w:r>
        <w:rPr>
          <w:rFonts w:ascii="Palatino Linotype" w:hAnsi="Palatino Linotype"/>
          <w:sz w:val="20"/>
          <w:szCs w:val="20"/>
        </w:rPr>
        <w:t xml:space="preserve"> jednotlivo určenú akciu a celkového počtu jednotlivo prevádzaných akcií, a to bez ohľadu na to, či sa ako výsledok súťaže prevádza hromadná akcia, ktorá ich nahrádza, alebo jednotlivé akcie, pričom táto kúpna cena sa rovná súhrnnej kúpnej cene podľa písm. c) </w:t>
      </w:r>
      <w:r>
        <w:rPr>
          <w:rFonts w:ascii="Palatino Linotype" w:hAnsi="Palatino Linotype"/>
          <w:color w:val="000000" w:themeColor="text1"/>
          <w:sz w:val="20"/>
          <w:szCs w:val="20"/>
          <w14:textFill>
            <w14:solidFill>
              <w14:schemeClr w14:val="tx1"/>
            </w14:solidFill>
          </w14:textFill>
        </w:rPr>
        <w:t xml:space="preserve">bodu 8 </w:t>
      </w:r>
      <w:r>
        <w:rPr>
          <w:rFonts w:ascii="Palatino Linotype" w:hAnsi="Palatino Linotype"/>
          <w:sz w:val="20"/>
          <w:szCs w:val="20"/>
        </w:rPr>
        <w:t>tohto Oddielu podmienok súťaže.;</w:t>
      </w:r>
    </w:p>
    <w:p w14:paraId="7F6B9330">
      <w:pPr>
        <w:pStyle w:val="23"/>
        <w:numPr>
          <w:ilvl w:val="0"/>
          <w:numId w:val="12"/>
        </w:numPr>
        <w:tabs>
          <w:tab w:val="left" w:pos="0"/>
          <w:tab w:val="left" w:pos="284"/>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 xml:space="preserve">oprávnenie vyhlasovateľa súťaže požadovať predaj zo strany navrhovateľa všetkých prevádzaných akcií, s kúpnou cenou min 13,27,- € </w:t>
      </w:r>
      <w:r>
        <w:rPr>
          <w:rFonts w:ascii="Palatino Linotype" w:hAnsi="Palatino Linotype"/>
          <w:i/>
          <w:iCs/>
          <w:sz w:val="20"/>
          <w:szCs w:val="20"/>
        </w:rPr>
        <w:t xml:space="preserve">(slovom trinásť eur dvadsaťsedem centov) </w:t>
      </w:r>
      <w:r>
        <w:rPr>
          <w:rFonts w:ascii="Palatino Linotype" w:hAnsi="Palatino Linotype"/>
          <w:sz w:val="20"/>
          <w:szCs w:val="20"/>
        </w:rPr>
        <w:t xml:space="preserve">za 1 </w:t>
      </w:r>
      <w:r>
        <w:rPr>
          <w:rFonts w:ascii="Palatino Linotype" w:hAnsi="Palatino Linotype"/>
          <w:i/>
          <w:iCs/>
          <w:sz w:val="20"/>
          <w:szCs w:val="20"/>
        </w:rPr>
        <w:t>(slovom jednu)</w:t>
      </w:r>
      <w:r>
        <w:rPr>
          <w:rFonts w:ascii="Palatino Linotype" w:hAnsi="Palatino Linotype"/>
          <w:sz w:val="20"/>
          <w:szCs w:val="20"/>
        </w:rPr>
        <w:t xml:space="preserve"> jednotlivo určenú akciu, nezaťažených akýmikoľvek právami tretích osôb k dátumu oznámenia o realizácii Call opcie v prospech vyhlasovateľa súťaže </w:t>
      </w:r>
      <w:r>
        <w:rPr>
          <w:rFonts w:ascii="Palatino Linotype" w:hAnsi="Palatino Linotype"/>
          <w:i/>
          <w:iCs/>
          <w:sz w:val="20"/>
          <w:szCs w:val="20"/>
        </w:rPr>
        <w:t>(ďalej aj „Call opcia“)</w:t>
      </w:r>
      <w:r>
        <w:rPr>
          <w:rFonts w:ascii="Palatino Linotype" w:hAnsi="Palatino Linotype"/>
          <w:sz w:val="20"/>
          <w:szCs w:val="20"/>
        </w:rPr>
        <w:t xml:space="preserve">. Z Call opcie vyplýva navrhovateľovi povinnosť akcie odovzdať a previesť vlastnícke právo k nim za kúpnu cenu podľa predchádzajúcej vety. Celková kúpna cena bude určená ako násobok kúpnej ceny za 1 </w:t>
      </w:r>
      <w:r>
        <w:rPr>
          <w:rFonts w:ascii="Palatino Linotype" w:hAnsi="Palatino Linotype"/>
          <w:i/>
          <w:iCs/>
          <w:sz w:val="20"/>
          <w:szCs w:val="20"/>
        </w:rPr>
        <w:t>(slovom jednu)</w:t>
      </w:r>
      <w:r>
        <w:rPr>
          <w:rFonts w:ascii="Palatino Linotype" w:hAnsi="Palatino Linotype"/>
          <w:sz w:val="20"/>
          <w:szCs w:val="20"/>
        </w:rPr>
        <w:t xml:space="preserve"> jednotlivo určenú akciu a celkového počtu jednotlivo prevádzaných akcií, a to bez ohľadu na to, či sa ako výsledok súťaže prevádza hromadná akcia, ktorá ich nahrádza, alebo jednotlivé akcie, pričom táto kúpna cena sa rovná súhrnnej kúpnej cene podľa písm. c) bodu 8 tohto Oddielu podmienok súťaže.;</w:t>
      </w:r>
    </w:p>
    <w:p w14:paraId="5CFA8DB3">
      <w:pPr>
        <w:pStyle w:val="23"/>
        <w:numPr>
          <w:ilvl w:val="0"/>
          <w:numId w:val="12"/>
        </w:numPr>
        <w:tabs>
          <w:tab w:val="left" w:pos="0"/>
          <w:tab w:val="left" w:pos="284"/>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identifikačné údaje navrhovateľa v rozsahu: obchodné meno/názov, IČO, sídlo, označenie registra a číslo zápisu, ak je navrhovateľ registrovaný;</w:t>
      </w:r>
    </w:p>
    <w:p w14:paraId="131AF036">
      <w:pPr>
        <w:pStyle w:val="23"/>
        <w:numPr>
          <w:ilvl w:val="0"/>
          <w:numId w:val="12"/>
        </w:numPr>
        <w:tabs>
          <w:tab w:val="left" w:pos="0"/>
          <w:tab w:val="left" w:pos="284"/>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 xml:space="preserve"> e-mailový, telefonický kontakt a korešpondenčnú adresu navrhovateľa;</w:t>
      </w:r>
    </w:p>
    <w:p w14:paraId="0B7DF57A">
      <w:pPr>
        <w:pStyle w:val="23"/>
        <w:numPr>
          <w:ilvl w:val="0"/>
          <w:numId w:val="12"/>
        </w:numPr>
        <w:tabs>
          <w:tab w:val="left" w:pos="0"/>
          <w:tab w:val="left" w:pos="284"/>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vyhlásenie navrhovateľa, ktorý v čase uzatvárania zmluvy o prevode akcií nie je akcionárom VVS, a. s., že  pristupuje k zakladateľskej zmluve VVS, a. s. a stanovám VVS, a. s.;</w:t>
      </w:r>
    </w:p>
    <w:p w14:paraId="7A3F0316">
      <w:pPr>
        <w:pStyle w:val="23"/>
        <w:numPr>
          <w:ilvl w:val="0"/>
          <w:numId w:val="12"/>
        </w:numPr>
        <w:tabs>
          <w:tab w:val="left" w:pos="0"/>
          <w:tab w:val="left" w:pos="284"/>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záväzné vyhlásenia navrhovateľa a ďalšie doklady podľa Oddielu C. bod 5 podmienok súťaže;</w:t>
      </w:r>
    </w:p>
    <w:p w14:paraId="5E6664EB">
      <w:pPr>
        <w:pStyle w:val="23"/>
        <w:numPr>
          <w:ilvl w:val="0"/>
          <w:numId w:val="12"/>
        </w:numPr>
        <w:tabs>
          <w:tab w:val="left" w:pos="0"/>
          <w:tab w:val="left" w:pos="284"/>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dojednanie zániku zmluvy podľa Oddielu H. bod 5 podmienok súťaže.</w:t>
      </w:r>
    </w:p>
    <w:p w14:paraId="193A63DD">
      <w:pPr>
        <w:pStyle w:val="23"/>
        <w:tabs>
          <w:tab w:val="left" w:pos="0"/>
          <w:tab w:val="left" w:pos="284"/>
        </w:tabs>
        <w:ind w:left="567"/>
        <w:jc w:val="both"/>
        <w:rPr>
          <w:rFonts w:ascii="Palatino Linotype" w:hAnsi="Palatino Linotype"/>
          <w:b/>
          <w:bCs/>
          <w:sz w:val="20"/>
          <w:szCs w:val="20"/>
        </w:rPr>
      </w:pPr>
    </w:p>
    <w:p w14:paraId="7015DC9D">
      <w:pPr>
        <w:pStyle w:val="23"/>
        <w:numPr>
          <w:ilvl w:val="0"/>
          <w:numId w:val="8"/>
        </w:numPr>
        <w:tabs>
          <w:tab w:val="left" w:pos="0"/>
          <w:tab w:val="left" w:pos="284"/>
        </w:tabs>
        <w:spacing w:after="0" w:line="240" w:lineRule="auto"/>
        <w:jc w:val="both"/>
        <w:rPr>
          <w:rFonts w:ascii="Palatino Linotype" w:hAnsi="Palatino Linotype"/>
          <w:b/>
          <w:bCs/>
          <w:sz w:val="20"/>
          <w:szCs w:val="20"/>
        </w:rPr>
      </w:pPr>
      <w:r>
        <w:rPr>
          <w:rFonts w:ascii="Palatino Linotype" w:hAnsi="Palatino Linotype"/>
          <w:b/>
          <w:bCs/>
          <w:sz w:val="20"/>
          <w:szCs w:val="20"/>
        </w:rPr>
        <w:t xml:space="preserve"> Spôsob podávania súťažných návrhov </w:t>
      </w:r>
    </w:p>
    <w:p w14:paraId="11BD703E">
      <w:pPr>
        <w:pStyle w:val="23"/>
        <w:tabs>
          <w:tab w:val="left" w:pos="0"/>
          <w:tab w:val="left" w:pos="284"/>
        </w:tabs>
        <w:ind w:left="0" w:firstLine="153"/>
        <w:contextualSpacing w:val="0"/>
        <w:jc w:val="both"/>
        <w:rPr>
          <w:rFonts w:ascii="Palatino Linotype" w:hAnsi="Palatino Linotype"/>
          <w:b/>
          <w:bCs/>
          <w:sz w:val="20"/>
          <w:szCs w:val="20"/>
        </w:rPr>
      </w:pPr>
    </w:p>
    <w:p w14:paraId="2B87C215">
      <w:pPr>
        <w:pStyle w:val="23"/>
        <w:numPr>
          <w:ilvl w:val="0"/>
          <w:numId w:val="13"/>
        </w:numPr>
        <w:tabs>
          <w:tab w:val="left" w:pos="0"/>
          <w:tab w:val="left" w:pos="284"/>
        </w:tabs>
        <w:spacing w:after="0" w:line="240" w:lineRule="auto"/>
        <w:ind w:left="0" w:firstLine="0"/>
        <w:contextualSpacing w:val="0"/>
        <w:jc w:val="both"/>
        <w:rPr>
          <w:rFonts w:ascii="Palatino Linotype" w:hAnsi="Palatino Linotype"/>
          <w:b/>
          <w:bCs/>
          <w:sz w:val="20"/>
          <w:szCs w:val="20"/>
        </w:rPr>
      </w:pPr>
      <w:r>
        <w:rPr>
          <w:rFonts w:ascii="Palatino Linotype" w:hAnsi="Palatino Linotype"/>
          <w:sz w:val="20"/>
          <w:szCs w:val="20"/>
        </w:rPr>
        <w:t>Za riadny súťažný návrh sa považuje ponuka, zahrňujúca návrh zmluvy o prevode akcií podľa § 30 zákona o cenných papieroch a investičných službách v spojení s § 409 a nasl. Obchodného zákonníka, podpísaný navrhovateľom, so všetkými podstatnými náležitosťami tohto zmluvného typu vyžadovanými príslušnými právnymi predpismi, ktorý zahŕňa predmet požadovaného záväzku a reflektuje zásady ostatného obsahu zmluvy podľa Oddielu B. týchto súťažných podmienok, ako aj ďalšie podmienky súťaže, na ktorých vyhlasovateľ súťaže trvá. Súťažný návrh nie je predložený riadne, ak k nemu nie sú priložené záväzné vyhlásenia navrhovateľa a ďalšie doklady podľa podmienok súťaže.</w:t>
      </w:r>
    </w:p>
    <w:p w14:paraId="122D6504">
      <w:pPr>
        <w:tabs>
          <w:tab w:val="left" w:pos="0"/>
          <w:tab w:val="left" w:pos="284"/>
        </w:tabs>
        <w:jc w:val="both"/>
        <w:rPr>
          <w:rFonts w:ascii="Palatino Linotype" w:hAnsi="Palatino Linotype"/>
          <w:b/>
          <w:bCs/>
          <w:sz w:val="20"/>
          <w:szCs w:val="20"/>
        </w:rPr>
      </w:pPr>
    </w:p>
    <w:p w14:paraId="72890592">
      <w:pPr>
        <w:pStyle w:val="23"/>
        <w:numPr>
          <w:ilvl w:val="0"/>
          <w:numId w:val="13"/>
        </w:numPr>
        <w:tabs>
          <w:tab w:val="left" w:pos="0"/>
          <w:tab w:val="left" w:pos="284"/>
        </w:tabs>
        <w:spacing w:after="0" w:line="240" w:lineRule="auto"/>
        <w:ind w:left="0" w:firstLine="0"/>
        <w:contextualSpacing w:val="0"/>
        <w:jc w:val="both"/>
        <w:rPr>
          <w:rFonts w:ascii="Palatino Linotype" w:hAnsi="Palatino Linotype"/>
          <w:b/>
          <w:bCs/>
          <w:sz w:val="20"/>
          <w:szCs w:val="20"/>
        </w:rPr>
      </w:pPr>
      <w:r>
        <w:rPr>
          <w:rFonts w:ascii="Palatino Linotype" w:hAnsi="Palatino Linotype"/>
          <w:sz w:val="20"/>
          <w:szCs w:val="20"/>
        </w:rPr>
        <w:t>Návrh zmluvy o prevode akcií a záväzné vyhlásenia navrhovateľa musia byť fyzicky podpísané oprávnenou osobou (spravidla štatutárnym orgánom) a označené dňom podpisu. Ak za navrhovateľa koná splnomocnená alebo poverená osoba, k súťažnému návrhu priloží úradne osvedčené plnomocenstvo, alebo poverenie podľa príslušných pracovnoprávnych predpisov.</w:t>
      </w:r>
    </w:p>
    <w:p w14:paraId="0DA797F2">
      <w:pPr>
        <w:pStyle w:val="23"/>
        <w:tabs>
          <w:tab w:val="left" w:pos="0"/>
          <w:tab w:val="left" w:pos="284"/>
        </w:tabs>
        <w:ind w:left="0"/>
        <w:contextualSpacing w:val="0"/>
        <w:jc w:val="both"/>
        <w:rPr>
          <w:rFonts w:ascii="Palatino Linotype" w:hAnsi="Palatino Linotype"/>
          <w:b/>
          <w:bCs/>
          <w:sz w:val="20"/>
          <w:szCs w:val="20"/>
        </w:rPr>
      </w:pPr>
    </w:p>
    <w:p w14:paraId="717CD396">
      <w:pPr>
        <w:pStyle w:val="23"/>
        <w:numPr>
          <w:ilvl w:val="0"/>
          <w:numId w:val="13"/>
        </w:numPr>
        <w:tabs>
          <w:tab w:val="left" w:pos="0"/>
          <w:tab w:val="left" w:pos="284"/>
        </w:tabs>
        <w:spacing w:after="0" w:line="240" w:lineRule="auto"/>
        <w:ind w:left="0" w:firstLine="0"/>
        <w:contextualSpacing w:val="0"/>
        <w:jc w:val="both"/>
        <w:rPr>
          <w:rFonts w:ascii="Palatino Linotype" w:hAnsi="Palatino Linotype"/>
          <w:b/>
          <w:bCs/>
          <w:sz w:val="20"/>
          <w:szCs w:val="20"/>
        </w:rPr>
      </w:pPr>
      <w:r>
        <w:rPr>
          <w:rFonts w:ascii="Palatino Linotype" w:hAnsi="Palatino Linotype"/>
          <w:sz w:val="20"/>
          <w:szCs w:val="20"/>
        </w:rPr>
        <w:t xml:space="preserve">Súťažný návrh a všetky k nemu priložené doklady, vyžadované podmienkami súťaže, musia byť predložené v slovenskom jazyku. Všetky písomnosti sa predkladajú v origináli, alebo v úradne osvedčenej kópii; návrh zmluvy o prevode akcií sa predkladá výlučne v origináli. Ku všetkým písomnostiam, ktoré nie sú v origináli vyhotovené v slovenskom jazyku, sa musí priložiť preklad vykonaný prekladateľom, zapísaným v príslušnom zozname podľa zákona č. 382/2004 Z. z. o znalcoch, tlmočníkoch a prekladateľoch a o zmene a doplnení niektorých zákonov v z. n. p. </w:t>
      </w:r>
      <w:r>
        <w:rPr>
          <w:rFonts w:ascii="Palatino Linotype" w:hAnsi="Palatino Linotype"/>
          <w:i/>
          <w:iCs/>
          <w:sz w:val="20"/>
          <w:szCs w:val="20"/>
        </w:rPr>
        <w:t>(ďalej len „zákon o znalcoch, tlmočníkoch a prekladateľoch“)</w:t>
      </w:r>
      <w:r>
        <w:rPr>
          <w:rFonts w:ascii="Palatino Linotype" w:hAnsi="Palatino Linotype"/>
          <w:sz w:val="20"/>
          <w:szCs w:val="20"/>
        </w:rPr>
        <w:t xml:space="preserve">. </w:t>
      </w:r>
    </w:p>
    <w:p w14:paraId="5CCE15EE">
      <w:pPr>
        <w:tabs>
          <w:tab w:val="left" w:pos="0"/>
          <w:tab w:val="left" w:pos="284"/>
        </w:tabs>
        <w:jc w:val="both"/>
        <w:rPr>
          <w:rFonts w:ascii="Palatino Linotype" w:hAnsi="Palatino Linotype"/>
          <w:b/>
          <w:bCs/>
          <w:sz w:val="20"/>
          <w:szCs w:val="20"/>
        </w:rPr>
      </w:pPr>
    </w:p>
    <w:p w14:paraId="692C2FA3">
      <w:pPr>
        <w:pStyle w:val="23"/>
        <w:numPr>
          <w:ilvl w:val="0"/>
          <w:numId w:val="13"/>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Každý navrhovateľ môže podať iba jeden súťažný návrh. V prípade podania viacerých súťažných návrhov</w:t>
      </w:r>
      <w:r>
        <w:rPr>
          <w:rFonts w:ascii="Palatino Linotype" w:hAnsi="Palatino Linotype"/>
          <w:bCs/>
          <w:sz w:val="20"/>
          <w:szCs w:val="20"/>
        </w:rPr>
        <w:t xml:space="preserve">, </w:t>
      </w:r>
      <w:r>
        <w:rPr>
          <w:rFonts w:ascii="Palatino Linotype" w:hAnsi="Palatino Linotype"/>
          <w:sz w:val="20"/>
          <w:szCs w:val="20"/>
        </w:rPr>
        <w:t>súťažný návrh podaný neskôr tým istým navrhovateľom, ruší jeho predchádzajúce podané súťažné návrhy.</w:t>
      </w:r>
    </w:p>
    <w:p w14:paraId="5F2C7ACC">
      <w:pPr>
        <w:pStyle w:val="23"/>
        <w:tabs>
          <w:tab w:val="left" w:pos="0"/>
          <w:tab w:val="left" w:pos="284"/>
        </w:tabs>
        <w:ind w:left="0"/>
        <w:jc w:val="both"/>
        <w:rPr>
          <w:rFonts w:ascii="Palatino Linotype" w:hAnsi="Palatino Linotype"/>
          <w:b/>
          <w:bCs/>
          <w:sz w:val="20"/>
          <w:szCs w:val="20"/>
        </w:rPr>
      </w:pPr>
    </w:p>
    <w:p w14:paraId="486FC43E">
      <w:pPr>
        <w:pStyle w:val="23"/>
        <w:numPr>
          <w:ilvl w:val="0"/>
          <w:numId w:val="13"/>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Doklady, ktoré je navrhovateľ povinný priložiť k návrhu zmluvy o prevode akcií:</w:t>
      </w:r>
    </w:p>
    <w:p w14:paraId="02C85A17">
      <w:pPr>
        <w:pStyle w:val="23"/>
        <w:numPr>
          <w:ilvl w:val="0"/>
          <w:numId w:val="14"/>
        </w:numPr>
        <w:tabs>
          <w:tab w:val="left" w:pos="284"/>
          <w:tab w:val="left" w:pos="567"/>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výpis z príslušného registra, alebo záväzné čestné vyhlásenie navrhovateľa o tom, že je subjektom verejného práva podľa § 3 ods. 3 zákona o verejných vodovodoch a verejných kanalizáciách alebo subjektom oprávneným v zmysle platnej právnej úpravy SR nadobúdať akcie vodárenských spoločností</w:t>
      </w:r>
    </w:p>
    <w:p w14:paraId="5B34D67B">
      <w:pPr>
        <w:pStyle w:val="23"/>
        <w:numPr>
          <w:ilvl w:val="0"/>
          <w:numId w:val="14"/>
        </w:numPr>
        <w:tabs>
          <w:tab w:val="left" w:pos="284"/>
          <w:tab w:val="left" w:pos="567"/>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výpis z registra trestov právnických osôb nie starší ako tri mesiace;</w:t>
      </w:r>
    </w:p>
    <w:p w14:paraId="15151A62">
      <w:pPr>
        <w:pStyle w:val="23"/>
        <w:numPr>
          <w:ilvl w:val="0"/>
          <w:numId w:val="14"/>
        </w:numPr>
        <w:tabs>
          <w:tab w:val="left" w:pos="284"/>
          <w:tab w:val="left" w:pos="567"/>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vyhlásenie navrhovateľa o vzniku jeho záväzku mlčanlivosti o veciach, ktoré sa dozvie pri uplatňovaní práva na informácie v priebehu súťaže, najmä, ale nielen informácie vyplývajúce zo zakladateľskej zmluvy VVS, a. s. a stanov VVS, a. s.;</w:t>
      </w:r>
    </w:p>
    <w:p w14:paraId="65A1E915">
      <w:pPr>
        <w:pStyle w:val="23"/>
        <w:numPr>
          <w:ilvl w:val="0"/>
          <w:numId w:val="14"/>
        </w:numPr>
        <w:tabs>
          <w:tab w:val="left" w:pos="284"/>
          <w:tab w:val="left" w:pos="567"/>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listina, alebo výpis z verejného registra, z ktorej vyplýva, že osoba, ktorá podpisuje súťažný návrh, bola ustanovená do funkcie štatutárneho orgánu navrhovateľa, alebo úradne osvedčené plnomocenstvo, či poverenie osoby, ktorá je oprávnená predložiť súťažný návrh v mene a na účet navrhovateľa;</w:t>
      </w:r>
    </w:p>
    <w:p w14:paraId="0F77AF69">
      <w:pPr>
        <w:pStyle w:val="23"/>
        <w:numPr>
          <w:ilvl w:val="0"/>
          <w:numId w:val="14"/>
        </w:numPr>
        <w:tabs>
          <w:tab w:val="left" w:pos="284"/>
          <w:tab w:val="left" w:pos="567"/>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podpísané rozhodnutie príslušného kompetentného orgánu navrhovateľa o nadobudnutí majetkovej účasti na základnom imaní VVS, a. s., vyžadované príslušnými právnymi predpismi. Ak je navrhovateľom obec podľa § 3 ods. 3 písm. a) zákona o verejných vodovodoch a verejných kanalizáciách, je tento povinný predložiť rovnopis uznesenia obecného zastupiteľstva, ktorým sa schvaľuje nadobudnutie originárnej alebo derivatívnej majetkovej účasti na základnom imaní VVS, a. s. podľa § 11 ods. 4 písm. l) zákona o obecnom zriadení. Ak je navrhovateľom právnická osoba podľa § 3 ods. 3 písm. b), alebo písm. c) zákona o verejných vodovodoch a verejných kanalizáciách, je tento povinný predložiť rovnopis alebo úradne osvedčenú kópiu uznesenia príslušného orgánu (napr. valného zhromaždenia, predstavenstva, členskej schôdze), ktorým sa schvaľuje nadobudnutie originárnej alebo derivatívnej majetkovej účasti na základnom imaní VVS, a. s.;</w:t>
      </w:r>
    </w:p>
    <w:p w14:paraId="7D910E61">
      <w:pPr>
        <w:pStyle w:val="23"/>
        <w:numPr>
          <w:ilvl w:val="0"/>
          <w:numId w:val="14"/>
        </w:numPr>
        <w:tabs>
          <w:tab w:val="left" w:pos="284"/>
          <w:tab w:val="left" w:pos="567"/>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čestné vyhlásenie navrhovateľa, že neeviduje žiadne neuhradené splatné záväzky voči vyhlasovateľovi súťaže;</w:t>
      </w:r>
    </w:p>
    <w:p w14:paraId="40E1AB21">
      <w:pPr>
        <w:pStyle w:val="23"/>
        <w:numPr>
          <w:ilvl w:val="0"/>
          <w:numId w:val="14"/>
        </w:numPr>
        <w:tabs>
          <w:tab w:val="left" w:pos="284"/>
          <w:tab w:val="left" w:pos="567"/>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čestné vyhlásenie navrhovateľa, že si nie je vedomý žiadneho (ani len potenciálneho) konfliktu záujmov, najmä, že neexistuje skutočnosť, ktorá by mohla byť považovaná za ohrozenie nestrannosti, nezávislosti a transparentnosti súťaže;</w:t>
      </w:r>
    </w:p>
    <w:p w14:paraId="2C6EEFA0">
      <w:pPr>
        <w:pStyle w:val="23"/>
        <w:numPr>
          <w:ilvl w:val="0"/>
          <w:numId w:val="14"/>
        </w:numPr>
        <w:tabs>
          <w:tab w:val="left" w:pos="284"/>
          <w:tab w:val="left" w:pos="567"/>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čestné vyhlásenie navrhovateľa, že sa dôsledne oboznámil so stanovami VVS, a. s. , má všetky potrebné informácie týkajúce sa ekonomického stavu VVS, a. s., a pri predkladaní návrhu uvedené zohľadnil v cenovej ponuke a súhlasí s podmienkami súťaže;</w:t>
      </w:r>
    </w:p>
    <w:p w14:paraId="36EB9069">
      <w:pPr>
        <w:pStyle w:val="23"/>
        <w:numPr>
          <w:ilvl w:val="0"/>
          <w:numId w:val="14"/>
        </w:numPr>
        <w:shd w:val="clear" w:color="auto" w:fill="FFFFFF" w:themeFill="background1"/>
        <w:tabs>
          <w:tab w:val="left" w:pos="284"/>
          <w:tab w:val="left" w:pos="567"/>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čestné vyhlásenie navrhovateľa, ktorý je akcionárom VVS, a. s., že oznámil, respektíve v lehote na to určenej (60 – dní od ponuky na predaj akcií podľa Oddielu D. bod 2 týchto podmienok súťaže) oznámi, svoj záujem o kúpu akcií vyhlasovateľovi súťaže a VVS, a. s. v rámci uplatnenia predkupného práva.;</w:t>
      </w:r>
    </w:p>
    <w:p w14:paraId="060FEA55">
      <w:pPr>
        <w:pStyle w:val="23"/>
        <w:numPr>
          <w:ilvl w:val="0"/>
          <w:numId w:val="14"/>
        </w:numPr>
        <w:shd w:val="clear" w:color="auto" w:fill="FFFFFF" w:themeFill="background1"/>
        <w:tabs>
          <w:tab w:val="left" w:pos="284"/>
          <w:tab w:val="left" w:pos="567"/>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podpísané rozhodnutia príslušného kompetentného orgánu obce, ak je navrhovateľom obec podľa § 3 ods. 3 písm. a) zákona o verejných vodovodoch a verejných kanalizáciách, o záväzku previesť dlhopisy podľa Oddielu B. bod 8 písm. d) podmienok súťaže, vyžadované príslušnými právnymi predpismi. Navrhovateľ je podľa predchádzajúcej vety povinný predložiť rovnopisy uznesení obecného zastupiteľstva k prevodu realizovanom podľa</w:t>
      </w:r>
      <w:r>
        <w:rPr>
          <w:rFonts w:ascii="Palatino Linotype" w:hAnsi="Palatino Linotype"/>
          <w:color w:val="FF0000"/>
          <w:sz w:val="20"/>
          <w:szCs w:val="20"/>
        </w:rPr>
        <w:t xml:space="preserve"> </w:t>
      </w:r>
      <w:r>
        <w:rPr>
          <w:rFonts w:ascii="Palatino Linotype" w:hAnsi="Palatino Linotype"/>
          <w:sz w:val="20"/>
          <w:szCs w:val="20"/>
        </w:rPr>
        <w:t>§ 9ab ods. 2 zákona o majetku obcí;</w:t>
      </w:r>
    </w:p>
    <w:p w14:paraId="2B9D7EB8">
      <w:pPr>
        <w:pStyle w:val="23"/>
        <w:numPr>
          <w:ilvl w:val="0"/>
          <w:numId w:val="14"/>
        </w:numPr>
        <w:shd w:val="clear" w:color="auto" w:fill="FFFFFF" w:themeFill="background1"/>
        <w:tabs>
          <w:tab w:val="left" w:pos="284"/>
          <w:tab w:val="left" w:pos="567"/>
        </w:tabs>
        <w:spacing w:after="0" w:line="240" w:lineRule="auto"/>
        <w:ind w:left="567" w:hanging="283"/>
        <w:jc w:val="both"/>
        <w:rPr>
          <w:rFonts w:ascii="Palatino Linotype" w:hAnsi="Palatino Linotype"/>
          <w:b/>
          <w:bCs/>
          <w:sz w:val="20"/>
          <w:szCs w:val="20"/>
        </w:rPr>
      </w:pPr>
      <w:r>
        <w:rPr>
          <w:rFonts w:ascii="Palatino Linotype" w:hAnsi="Palatino Linotype"/>
          <w:sz w:val="20"/>
          <w:szCs w:val="20"/>
        </w:rPr>
        <w:t>návrh zmluvy o úpise/predaji dlhopisov podľa Oddielu B. bod 8 písm. d) týchto podmienok súťaže.</w:t>
      </w:r>
    </w:p>
    <w:p w14:paraId="54132964">
      <w:pPr>
        <w:tabs>
          <w:tab w:val="left" w:pos="284"/>
          <w:tab w:val="left" w:pos="567"/>
        </w:tabs>
        <w:ind w:left="284"/>
        <w:jc w:val="both"/>
        <w:rPr>
          <w:b/>
          <w:bCs/>
        </w:rPr>
      </w:pPr>
      <w:r>
        <w:rPr>
          <w:rFonts w:ascii="Palatino Linotype" w:hAnsi="Palatino Linotype"/>
          <w:sz w:val="20"/>
          <w:szCs w:val="20"/>
        </w:rPr>
        <w:t>    </w:t>
      </w:r>
      <w:r>
        <w:t>     </w:t>
      </w:r>
      <w:r>
        <w:rPr>
          <w:color w:val="000000"/>
        </w:rPr>
        <w:t>    </w:t>
      </w:r>
      <w:r>
        <w:t>          </w:t>
      </w:r>
    </w:p>
    <w:p w14:paraId="7E27C547">
      <w:pPr>
        <w:pStyle w:val="23"/>
        <w:numPr>
          <w:ilvl w:val="0"/>
          <w:numId w:val="13"/>
        </w:numPr>
        <w:tabs>
          <w:tab w:val="left" w:pos="0"/>
          <w:tab w:val="left" w:pos="284"/>
        </w:tabs>
        <w:spacing w:after="0" w:line="240" w:lineRule="auto"/>
        <w:ind w:left="0" w:firstLine="0"/>
        <w:jc w:val="both"/>
        <w:rPr>
          <w:rFonts w:ascii="Palatino Linotype" w:hAnsi="Palatino Linotype"/>
          <w:b/>
          <w:bCs/>
          <w:strike/>
          <w:color w:val="000000" w:themeColor="text1"/>
          <w:sz w:val="20"/>
          <w:szCs w:val="20"/>
          <w14:textFill>
            <w14:solidFill>
              <w14:schemeClr w14:val="tx1"/>
            </w14:solidFill>
          </w14:textFill>
        </w:rPr>
      </w:pPr>
      <w:r>
        <w:rPr>
          <w:rFonts w:ascii="Palatino Linotype" w:hAnsi="Palatino Linotype"/>
          <w:sz w:val="20"/>
          <w:szCs w:val="20"/>
        </w:rPr>
        <w:t xml:space="preserve">Súťažný návrh je potrebné predložiť vyhlasovateľovi súťaže výlučne v lehote určenej na predkladanie súťažných </w:t>
      </w:r>
      <w:r>
        <w:rPr>
          <w:rFonts w:ascii="Palatino Linotype" w:hAnsi="Palatino Linotype"/>
          <w:color w:val="000000" w:themeColor="text1"/>
          <w:sz w:val="20"/>
          <w:szCs w:val="20"/>
          <w14:textFill>
            <w14:solidFill>
              <w14:schemeClr w14:val="tx1"/>
            </w14:solidFill>
          </w14:textFill>
        </w:rPr>
        <w:t xml:space="preserve">návrhov, t. j. do </w:t>
      </w:r>
      <w:r>
        <w:rPr>
          <w:rFonts w:ascii="Palatino Linotype" w:hAnsi="Palatino Linotype"/>
          <w:b/>
          <w:bCs/>
          <w:color w:val="000000" w:themeColor="text1"/>
          <w:sz w:val="20"/>
          <w:szCs w:val="20"/>
          <w14:textFill>
            <w14:solidFill>
              <w14:schemeClr w14:val="tx1"/>
            </w14:solidFill>
          </w14:textFill>
        </w:rPr>
        <w:t>..... do .... hod.</w:t>
      </w:r>
      <w:r>
        <w:rPr>
          <w:rFonts w:ascii="Palatino Linotype" w:hAnsi="Palatino Linotype"/>
          <w:color w:val="000000" w:themeColor="text1"/>
          <w:sz w:val="20"/>
          <w:szCs w:val="20"/>
          <w14:textFill>
            <w14:solidFill>
              <w14:schemeClr w14:val="tx1"/>
            </w14:solidFill>
          </w14:textFill>
        </w:rPr>
        <w:t xml:space="preserve"> (vrátane) cez elektronickú schránku podľa zákona č. 305/2013 Z. z. o elektronickej podobe výkonu pôsobnosti orgánov verejnej moci a o zmene a doplnení niektorých zákonov (zákon o e-Governmente) v z. n. p. </w:t>
      </w:r>
      <w:r>
        <w:rPr>
          <w:rFonts w:ascii="Palatino Linotype" w:hAnsi="Palatino Linotype"/>
          <w:i/>
          <w:iCs/>
          <w:color w:val="000000" w:themeColor="text1"/>
          <w:sz w:val="20"/>
          <w:szCs w:val="20"/>
          <w14:textFill>
            <w14:solidFill>
              <w14:schemeClr w14:val="tx1"/>
            </w14:solidFill>
          </w14:textFill>
        </w:rPr>
        <w:t>(ďalej len „zákon o e-Governmente“)</w:t>
      </w:r>
      <w:r>
        <w:rPr>
          <w:rFonts w:ascii="Palatino Linotype" w:hAnsi="Palatino Linotype"/>
          <w:color w:val="000000" w:themeColor="text1"/>
          <w:sz w:val="20"/>
          <w:szCs w:val="20"/>
          <w14:textFill>
            <w14:solidFill>
              <w14:schemeClr w14:val="tx1"/>
            </w14:solidFill>
          </w14:textFill>
        </w:rPr>
        <w:t>. Vyhlasovateľ súťaže opatrí doručený súťažný návrh elektronickou doručenkou, ktorá jednoznačne identifikuje moment elektronického doručenia, odosielateľa, prijímateľa, elektronickú úradnú správu a jej obsah.</w:t>
      </w:r>
    </w:p>
    <w:p w14:paraId="56C840D5">
      <w:pPr>
        <w:tabs>
          <w:tab w:val="left" w:pos="0"/>
          <w:tab w:val="left" w:pos="284"/>
        </w:tabs>
        <w:jc w:val="both"/>
        <w:rPr>
          <w:rFonts w:ascii="Palatino Linotype" w:hAnsi="Palatino Linotype"/>
          <w:color w:val="000000" w:themeColor="text1"/>
          <w:sz w:val="20"/>
          <w:szCs w:val="20"/>
          <w14:textFill>
            <w14:solidFill>
              <w14:schemeClr w14:val="tx1"/>
            </w14:solidFill>
          </w14:textFill>
        </w:rPr>
      </w:pPr>
    </w:p>
    <w:p w14:paraId="5B6C17F3">
      <w:pPr>
        <w:pStyle w:val="23"/>
        <w:numPr>
          <w:ilvl w:val="0"/>
          <w:numId w:val="13"/>
        </w:numPr>
        <w:tabs>
          <w:tab w:val="left" w:pos="284"/>
        </w:tabs>
        <w:spacing w:after="0" w:line="240" w:lineRule="auto"/>
        <w:ind w:left="0" w:firstLine="0"/>
        <w:jc w:val="both"/>
        <w:rPr>
          <w:rFonts w:ascii="Palatino Linotype" w:hAnsi="Palatino Linotype"/>
          <w:b/>
          <w:bCs/>
          <w:color w:val="000000" w:themeColor="text1"/>
          <w:sz w:val="20"/>
          <w:szCs w:val="20"/>
          <w14:textFill>
            <w14:solidFill>
              <w14:schemeClr w14:val="tx1"/>
            </w14:solidFill>
          </w14:textFill>
        </w:rPr>
      </w:pPr>
      <w:r>
        <w:rPr>
          <w:rFonts w:ascii="Palatino Linotype" w:hAnsi="Palatino Linotype"/>
          <w:color w:val="000000" w:themeColor="text1"/>
          <w:sz w:val="20"/>
          <w:szCs w:val="20"/>
          <w14:textFill>
            <w14:solidFill>
              <w14:schemeClr w14:val="tx1"/>
            </w14:solidFill>
          </w14:textFill>
        </w:rPr>
        <w:t xml:space="preserve"> Predložený súťažný návrh nie je možné meniť a dopĺňať, ani ho upravovať, po uplynutí lehoty určenej na predkladanie súťažných návrhov, t. j. po </w:t>
      </w:r>
      <w:r>
        <w:rPr>
          <w:rFonts w:ascii="Palatino Linotype" w:hAnsi="Palatino Linotype"/>
          <w:b/>
          <w:bCs/>
          <w:color w:val="000000" w:themeColor="text1"/>
          <w:sz w:val="20"/>
          <w:szCs w:val="20"/>
          <w14:textFill>
            <w14:solidFill>
              <w14:schemeClr w14:val="tx1"/>
            </w14:solidFill>
          </w14:textFill>
        </w:rPr>
        <w:t>.... po .... hod.</w:t>
      </w:r>
      <w:r>
        <w:rPr>
          <w:rFonts w:ascii="Palatino Linotype" w:hAnsi="Palatino Linotype"/>
          <w:color w:val="000000" w:themeColor="text1"/>
          <w:sz w:val="20"/>
          <w:szCs w:val="20"/>
          <w14:textFill>
            <w14:solidFill>
              <w14:schemeClr w14:val="tx1"/>
            </w14:solidFill>
          </w14:textFill>
        </w:rPr>
        <w:t xml:space="preserve"> (vrátane</w:t>
      </w:r>
      <w:r>
        <w:rPr>
          <w:rFonts w:ascii="Palatino Linotype" w:hAnsi="Palatino Linotype"/>
          <w:sz w:val="20"/>
          <w:szCs w:val="20"/>
        </w:rPr>
        <w:t xml:space="preserve">). </w:t>
      </w:r>
      <w:r>
        <w:rPr>
          <w:rFonts w:ascii="Palatino Linotype" w:hAnsi="Palatino Linotype"/>
          <w:color w:val="000000"/>
          <w:sz w:val="20"/>
          <w:szCs w:val="20"/>
        </w:rPr>
        <w:t xml:space="preserve">Každá zmena, alebo doplnenie súťažného návrhu pred uplynutím lehoty na predkladanie súťažných návrhov, musí byť písomne doručená spôsobom určeným na predkladanie súťažných návrhov. </w:t>
      </w:r>
      <w:r>
        <w:rPr>
          <w:rFonts w:ascii="Palatino Linotype" w:hAnsi="Palatino Linotype"/>
          <w:color w:val="000000" w:themeColor="text1"/>
          <w:sz w:val="20"/>
          <w:szCs w:val="20"/>
          <w14:textFill>
            <w14:solidFill>
              <w14:schemeClr w14:val="tx1"/>
            </w14:solidFill>
          </w14:textFill>
        </w:rPr>
        <w:t>Súťažný návrh možno odvolať v celom rozsahu aj po uplynutí lehoty určenej na predkladanie súťažných návrhov.</w:t>
      </w:r>
    </w:p>
    <w:p w14:paraId="5CDFA6AF">
      <w:pPr>
        <w:pStyle w:val="23"/>
        <w:tabs>
          <w:tab w:val="left" w:pos="0"/>
          <w:tab w:val="left" w:pos="284"/>
        </w:tabs>
        <w:ind w:left="0"/>
        <w:jc w:val="both"/>
        <w:rPr>
          <w:rFonts w:ascii="Palatino Linotype" w:hAnsi="Palatino Linotype"/>
          <w:b/>
          <w:bCs/>
          <w:sz w:val="20"/>
          <w:szCs w:val="20"/>
        </w:rPr>
      </w:pPr>
    </w:p>
    <w:p w14:paraId="0B0A6683">
      <w:pPr>
        <w:pStyle w:val="23"/>
        <w:numPr>
          <w:ilvl w:val="0"/>
          <w:numId w:val="13"/>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 xml:space="preserve"> </w:t>
      </w:r>
      <w:r>
        <w:rPr>
          <w:rFonts w:ascii="Palatino Linotype" w:hAnsi="Palatino Linotype"/>
          <w:bCs/>
          <w:sz w:val="20"/>
          <w:szCs w:val="20"/>
        </w:rPr>
        <w:t>Navrhovateľ nemá nárok na náhradu nákladov spojených s účasťou v obchodnej verejnej súťaži.</w:t>
      </w:r>
    </w:p>
    <w:p w14:paraId="290B6863">
      <w:pPr>
        <w:pStyle w:val="23"/>
        <w:tabs>
          <w:tab w:val="left" w:pos="0"/>
          <w:tab w:val="left" w:pos="284"/>
        </w:tabs>
        <w:ind w:left="0"/>
        <w:jc w:val="both"/>
        <w:rPr>
          <w:rFonts w:ascii="Palatino Linotype" w:hAnsi="Palatino Linotype"/>
          <w:b/>
          <w:bCs/>
          <w:sz w:val="20"/>
          <w:szCs w:val="20"/>
        </w:rPr>
      </w:pPr>
    </w:p>
    <w:p w14:paraId="35B06BAB">
      <w:pPr>
        <w:pStyle w:val="23"/>
        <w:numPr>
          <w:ilvl w:val="0"/>
          <w:numId w:val="13"/>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Navrhovateľ je viazaný predloženým súťažným návrhom až do ukončenia súťaže, najneskôr do uplynutia lehoty na uplatnenie predkupného práva podľa Oddielu D. týchto podmienok súťaže.</w:t>
      </w:r>
    </w:p>
    <w:p w14:paraId="4C1F4075">
      <w:pPr>
        <w:pStyle w:val="23"/>
        <w:tabs>
          <w:tab w:val="left" w:pos="0"/>
          <w:tab w:val="left" w:pos="284"/>
        </w:tabs>
        <w:ind w:left="0"/>
        <w:jc w:val="both"/>
        <w:rPr>
          <w:rFonts w:ascii="Palatino Linotype" w:hAnsi="Palatino Linotype"/>
          <w:b/>
          <w:bCs/>
          <w:sz w:val="20"/>
          <w:szCs w:val="20"/>
        </w:rPr>
      </w:pPr>
    </w:p>
    <w:p w14:paraId="65F8B154">
      <w:pPr>
        <w:pStyle w:val="23"/>
        <w:numPr>
          <w:ilvl w:val="0"/>
          <w:numId w:val="13"/>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Súťažný návrh nesmie obsahovať alternatívne návrhy, a to ani formou rozväzovacích podmienok.</w:t>
      </w:r>
    </w:p>
    <w:p w14:paraId="10B7C1C7">
      <w:pPr>
        <w:pStyle w:val="23"/>
        <w:rPr>
          <w:rFonts w:ascii="Palatino Linotype" w:hAnsi="Palatino Linotype"/>
          <w:b/>
          <w:bCs/>
          <w:sz w:val="20"/>
          <w:szCs w:val="20"/>
        </w:rPr>
      </w:pPr>
    </w:p>
    <w:p w14:paraId="7491B619">
      <w:pPr>
        <w:pStyle w:val="23"/>
        <w:numPr>
          <w:ilvl w:val="0"/>
          <w:numId w:val="13"/>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Všetky súťažné návrhy vyhlasovateľ súťaže zverejňuje do 10 pracovných dní od uplynutia lehoty na predkladanie súťažných návrhov, po dobu minimálne 30 dní, na úradnej tabuli a na webovom sídle.</w:t>
      </w:r>
    </w:p>
    <w:p w14:paraId="1503CFE0">
      <w:pPr>
        <w:tabs>
          <w:tab w:val="left" w:pos="0"/>
          <w:tab w:val="left" w:pos="284"/>
        </w:tabs>
        <w:jc w:val="both"/>
        <w:rPr>
          <w:rFonts w:ascii="Palatino Linotype" w:hAnsi="Palatino Linotype"/>
          <w:b/>
          <w:bCs/>
          <w:sz w:val="20"/>
          <w:szCs w:val="20"/>
        </w:rPr>
      </w:pPr>
    </w:p>
    <w:p w14:paraId="4E4A8257">
      <w:pPr>
        <w:tabs>
          <w:tab w:val="left" w:pos="0"/>
          <w:tab w:val="left" w:pos="284"/>
        </w:tabs>
        <w:jc w:val="both"/>
        <w:rPr>
          <w:rFonts w:ascii="Palatino Linotype" w:hAnsi="Palatino Linotype"/>
          <w:b/>
          <w:bCs/>
          <w:sz w:val="20"/>
          <w:szCs w:val="20"/>
        </w:rPr>
      </w:pPr>
    </w:p>
    <w:p w14:paraId="1B7725C4">
      <w:pPr>
        <w:pStyle w:val="23"/>
        <w:numPr>
          <w:ilvl w:val="0"/>
          <w:numId w:val="8"/>
        </w:numPr>
        <w:shd w:val="clear" w:color="auto" w:fill="FFFFFF" w:themeFill="background1"/>
        <w:tabs>
          <w:tab w:val="left" w:pos="0"/>
          <w:tab w:val="left" w:pos="284"/>
        </w:tabs>
        <w:spacing w:after="0" w:line="240" w:lineRule="auto"/>
        <w:jc w:val="both"/>
        <w:rPr>
          <w:rFonts w:ascii="Palatino Linotype" w:hAnsi="Palatino Linotype"/>
          <w:b/>
          <w:bCs/>
          <w:sz w:val="20"/>
          <w:szCs w:val="20"/>
        </w:rPr>
      </w:pPr>
      <w:r>
        <w:rPr>
          <w:rFonts w:ascii="Palatino Linotype" w:hAnsi="Palatino Linotype"/>
          <w:b/>
          <w:bCs/>
          <w:sz w:val="20"/>
          <w:szCs w:val="20"/>
        </w:rPr>
        <w:t>Predkupné právo akcionárov VVS, a. s.</w:t>
      </w:r>
    </w:p>
    <w:p w14:paraId="44F081BB">
      <w:pPr>
        <w:pStyle w:val="23"/>
        <w:shd w:val="clear" w:color="auto" w:fill="FFFFFF" w:themeFill="background1"/>
        <w:tabs>
          <w:tab w:val="left" w:pos="0"/>
          <w:tab w:val="left" w:pos="284"/>
        </w:tabs>
        <w:ind w:left="153"/>
        <w:jc w:val="both"/>
        <w:rPr>
          <w:rFonts w:ascii="Palatino Linotype" w:hAnsi="Palatino Linotype"/>
          <w:b/>
          <w:bCs/>
          <w:sz w:val="20"/>
          <w:szCs w:val="20"/>
        </w:rPr>
      </w:pPr>
    </w:p>
    <w:p w14:paraId="59ADBF3E">
      <w:pPr>
        <w:pStyle w:val="23"/>
        <w:numPr>
          <w:ilvl w:val="0"/>
          <w:numId w:val="15"/>
        </w:numPr>
        <w:tabs>
          <w:tab w:val="left" w:pos="284"/>
        </w:tabs>
        <w:spacing w:after="0" w:line="240" w:lineRule="auto"/>
        <w:ind w:left="0" w:firstLine="0"/>
        <w:contextualSpacing w:val="0"/>
        <w:jc w:val="both"/>
        <w:rPr>
          <w:rFonts w:ascii="Palatino Linotype" w:hAnsi="Palatino Linotype"/>
          <w:b/>
          <w:bCs/>
          <w:sz w:val="20"/>
          <w:szCs w:val="20"/>
        </w:rPr>
      </w:pPr>
      <w:r>
        <w:rPr>
          <w:rFonts w:ascii="Palatino Linotype" w:hAnsi="Palatino Linotype"/>
          <w:sz w:val="20"/>
          <w:szCs w:val="20"/>
        </w:rPr>
        <w:t>Navrhovateľ, ktorý je akcionárom VVS, a. s., okrem predloženia súťažného návrhu, oznámi svoj záujem o odkúpenie akcií (uplatnenie predkupného práva) vyhlasovateľovi súťaže a predstavenstvu VVS, a. s. Navrhovateľ podľa predchádzajúcej vety musí uplatniť predkupné právo vo vzťahu ku všetkým akciám, ktoré tvoria objekt prevodu podľa bodu 1 Oddielu B. týchto podmienok súťaže za totožnú kúpnu cenu, akú navrhuje v rámci tejto obchodnej verejnej súťaže.</w:t>
      </w:r>
    </w:p>
    <w:p w14:paraId="798EA555">
      <w:pPr>
        <w:pStyle w:val="23"/>
        <w:shd w:val="clear" w:color="auto" w:fill="FFFFFF" w:themeFill="background1"/>
        <w:tabs>
          <w:tab w:val="left" w:pos="0"/>
          <w:tab w:val="left" w:pos="284"/>
        </w:tabs>
        <w:ind w:left="0"/>
        <w:contextualSpacing w:val="0"/>
        <w:jc w:val="both"/>
        <w:rPr>
          <w:rFonts w:ascii="Palatino Linotype" w:hAnsi="Palatino Linotype"/>
          <w:b/>
          <w:bCs/>
          <w:sz w:val="20"/>
          <w:szCs w:val="20"/>
        </w:rPr>
      </w:pPr>
    </w:p>
    <w:p w14:paraId="706998B9">
      <w:pPr>
        <w:pStyle w:val="23"/>
        <w:numPr>
          <w:ilvl w:val="0"/>
          <w:numId w:val="15"/>
        </w:numPr>
        <w:shd w:val="clear" w:color="auto" w:fill="FFFFFF" w:themeFill="background1"/>
        <w:tabs>
          <w:tab w:val="left" w:pos="0"/>
          <w:tab w:val="left" w:pos="284"/>
        </w:tabs>
        <w:spacing w:after="0" w:line="240" w:lineRule="auto"/>
        <w:ind w:left="0" w:firstLine="0"/>
        <w:contextualSpacing w:val="0"/>
        <w:jc w:val="both"/>
        <w:rPr>
          <w:rFonts w:ascii="Palatino Linotype" w:hAnsi="Palatino Linotype"/>
          <w:b/>
          <w:bCs/>
          <w:sz w:val="20"/>
          <w:szCs w:val="20"/>
        </w:rPr>
      </w:pPr>
      <w:r>
        <w:rPr>
          <w:rFonts w:ascii="Palatino Linotype" w:hAnsi="Palatino Linotype"/>
          <w:b/>
          <w:bCs/>
          <w:sz w:val="20"/>
          <w:szCs w:val="20"/>
        </w:rPr>
        <w:t xml:space="preserve"> </w:t>
      </w:r>
      <w:r>
        <w:rPr>
          <w:rFonts w:ascii="Palatino Linotype" w:hAnsi="Palatino Linotype"/>
          <w:sz w:val="20"/>
          <w:szCs w:val="20"/>
        </w:rPr>
        <w:t>Vyhlasovateľ súťaže zverejní ponuku na predaj akcií na svojom webovom sídle v deň vyhlásenia súťaže. Zverejnenie ponuky na predaj akcií podľa predchádzajúcej vety vyhlasovateľ súťaže oznámi VVS, a. s. VVS, a. s. bezodkladne zverejní na svojom webovom sídle informáciu o oznámení ponuky vyhlasovateľa súťaže. Ak navrhovateľ, ktorý je akcionárom VVS, a. s., do 60 dní od obdržania alebo zverejnenia ponuky na predaj akcií neoznámi svoj záujem o kúpu akcií, potom platí predpoklad, že o kúpu ponúkaných akcií neprejavil záujem.</w:t>
      </w:r>
    </w:p>
    <w:p w14:paraId="1E14F229">
      <w:pPr>
        <w:pStyle w:val="23"/>
        <w:shd w:val="clear" w:color="auto" w:fill="FFFFFF" w:themeFill="background1"/>
        <w:tabs>
          <w:tab w:val="left" w:pos="0"/>
          <w:tab w:val="left" w:pos="284"/>
        </w:tabs>
        <w:ind w:left="0"/>
        <w:contextualSpacing w:val="0"/>
        <w:jc w:val="both"/>
        <w:rPr>
          <w:rFonts w:ascii="Palatino Linotype" w:hAnsi="Palatino Linotype"/>
          <w:b/>
          <w:bCs/>
          <w:sz w:val="20"/>
          <w:szCs w:val="20"/>
        </w:rPr>
      </w:pPr>
    </w:p>
    <w:p w14:paraId="249AD99A">
      <w:pPr>
        <w:pStyle w:val="23"/>
        <w:numPr>
          <w:ilvl w:val="0"/>
          <w:numId w:val="15"/>
        </w:numPr>
        <w:shd w:val="clear" w:color="auto" w:fill="FFFFFF" w:themeFill="background1"/>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 xml:space="preserve">Riadne a včasné uplatnenie predkupného práva navrhovateľa podľa bodu 1 tohto Oddielu je odkladacou podmienkou účinnosti zmluvy o prevode akcií s týmto navrhovateľom – vybraným účastníkom súťaže, ktorý je akcionárom VVS, a. s., ak vyhlasovateľ súťaže návrh prijal a vybraný účastník súťaže neodmietol zmluvu uzavrieť </w:t>
      </w:r>
      <w:r>
        <w:rPr>
          <w:rFonts w:ascii="Palatino Linotype" w:hAnsi="Palatino Linotype"/>
          <w:i/>
          <w:iCs/>
          <w:sz w:val="20"/>
          <w:szCs w:val="20"/>
        </w:rPr>
        <w:t>(ďalej aj „odkladacia podmienka 1“)</w:t>
      </w:r>
      <w:r>
        <w:rPr>
          <w:rFonts w:ascii="Palatino Linotype" w:hAnsi="Palatino Linotype"/>
          <w:sz w:val="20"/>
          <w:szCs w:val="20"/>
        </w:rPr>
        <w:t>. Márnym uplynutím lehoty na uplatnenie predkupného práva nevzniknú práva a povinnosti založené zmluvou o prevode akcií medzi vyhlasovateľom súťaže a vybraným účastníkom súťaže, vyhlasovateľ súťaže je oprávnený vyhlásiť novú súťaž s totožným predmetom.</w:t>
      </w:r>
    </w:p>
    <w:p w14:paraId="639AA017">
      <w:pPr>
        <w:pStyle w:val="23"/>
        <w:shd w:val="clear" w:color="auto" w:fill="FFFFFF" w:themeFill="background1"/>
        <w:tabs>
          <w:tab w:val="left" w:pos="0"/>
          <w:tab w:val="left" w:pos="284"/>
        </w:tabs>
        <w:ind w:left="0"/>
        <w:jc w:val="both"/>
        <w:rPr>
          <w:rFonts w:ascii="Palatino Linotype" w:hAnsi="Palatino Linotype"/>
          <w:b/>
          <w:bCs/>
          <w:sz w:val="20"/>
          <w:szCs w:val="20"/>
        </w:rPr>
      </w:pPr>
    </w:p>
    <w:p w14:paraId="3DFC8692">
      <w:pPr>
        <w:pStyle w:val="23"/>
        <w:numPr>
          <w:ilvl w:val="0"/>
          <w:numId w:val="15"/>
        </w:numPr>
        <w:shd w:val="clear" w:color="auto" w:fill="FFFFFF" w:themeFill="background1"/>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 xml:space="preserve">Vybraný účastník súťaže podľa bodu 1 tohto Oddielu je povinný najneskôr piaty pracovný deň po uplynutí 60-dňovej lehoty na oznámenie záujmu o kúpu akcií </w:t>
      </w:r>
      <w:r>
        <w:rPr>
          <w:rFonts w:ascii="Palatino Linotype" w:hAnsi="Palatino Linotype"/>
          <w:i/>
          <w:iCs/>
          <w:sz w:val="20"/>
          <w:szCs w:val="20"/>
        </w:rPr>
        <w:t>(ďalej aj „oznámenie“)</w:t>
      </w:r>
      <w:r>
        <w:rPr>
          <w:rFonts w:ascii="Palatino Linotype" w:hAnsi="Palatino Linotype"/>
          <w:sz w:val="20"/>
          <w:szCs w:val="20"/>
        </w:rPr>
        <w:t xml:space="preserve"> doručiť vyhlasovateľovi súťaže fotokópiu oznámenia, spolu s vykázaným záznamom o dni jeho doručenia vyhlasovateľovi súťaže a VVS, a. s. Ak vybraný účastník súťaže doručenie oznámenia podľa predchádzajúcej vety vyhlasovateľovi súťaže nepreukáže (t. j. nedoručí fotokópiu oznámenia spolu s vykázaným záznamom o dni jeho doručenia vyhlasovateľovi súťaže a VVS, a. s.), platí nevyvrátiteľná domnienka o márnom uplynutí lehoty na uplatnenie predkupného práva podľa bodu 3 tohto Oddielu.</w:t>
      </w:r>
    </w:p>
    <w:p w14:paraId="1BC35E51">
      <w:pPr>
        <w:pStyle w:val="23"/>
        <w:shd w:val="clear" w:color="auto" w:fill="FFFFFF" w:themeFill="background1"/>
        <w:tabs>
          <w:tab w:val="left" w:pos="0"/>
          <w:tab w:val="left" w:pos="284"/>
        </w:tabs>
        <w:ind w:left="0"/>
        <w:jc w:val="both"/>
        <w:rPr>
          <w:rFonts w:ascii="Palatino Linotype" w:hAnsi="Palatino Linotype"/>
          <w:b/>
          <w:bCs/>
          <w:sz w:val="20"/>
          <w:szCs w:val="20"/>
        </w:rPr>
      </w:pPr>
    </w:p>
    <w:p w14:paraId="310603A5">
      <w:pPr>
        <w:pStyle w:val="23"/>
        <w:numPr>
          <w:ilvl w:val="0"/>
          <w:numId w:val="15"/>
        </w:numPr>
        <w:shd w:val="clear" w:color="auto" w:fill="FFFFFF" w:themeFill="background1"/>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 xml:space="preserve">Splnením odkladacej podmienky 1 nadobudne zmluva o prevode akcií s vybraným účastníkom, ktorý je akcionárom VVS, a. s., účinnosť, nie však skôr, ako VVS, a. s. rozhodne o žiadosti vyhlasovateľa súťaže o udelení súhlasu s prevodom akcií </w:t>
      </w:r>
      <w:r>
        <w:rPr>
          <w:rFonts w:ascii="Palatino Linotype" w:hAnsi="Palatino Linotype"/>
          <w:i/>
          <w:iCs/>
          <w:sz w:val="20"/>
          <w:szCs w:val="20"/>
        </w:rPr>
        <w:t>(ďalej aj „žiadosť o udelenie súhlasu s prevodom“)</w:t>
      </w:r>
      <w:r>
        <w:rPr>
          <w:rFonts w:ascii="Palatino Linotype" w:hAnsi="Palatino Linotype"/>
          <w:sz w:val="20"/>
          <w:szCs w:val="20"/>
        </w:rPr>
        <w:t xml:space="preserve">, tak, že súhlas udelí a oznámi rozhodnutie vyhlasovateľovi súťaže podľa bodu 9 tohto Oddielu. Nadobudnutie účinnosti zmluvy o prevode akcií s vybraným účastníkom súťaže, ktorý je akcionárom VVS, a. s., je podmienené kumulatívnym splnením odkladacej podmienky 1, udelením súhlasu VVS, a. s. s prevodom akcií a oznámením rozhodnutia vyhlasovateľovi súťaže podľa bodu 9 tohto Oddielu </w:t>
      </w:r>
      <w:r>
        <w:rPr>
          <w:rFonts w:ascii="Palatino Linotype" w:hAnsi="Palatino Linotype"/>
          <w:i/>
          <w:iCs/>
          <w:sz w:val="20"/>
          <w:szCs w:val="20"/>
        </w:rPr>
        <w:t>(udelenie súhlasu VVS, a. s. s prevodom akcií a oznámenie rozhodnutia vyhlasovateľovi súťaže ďalej spolu aj „odkladacia podmienka 2“)</w:t>
      </w:r>
      <w:r>
        <w:rPr>
          <w:rFonts w:ascii="Palatino Linotype" w:hAnsi="Palatino Linotype"/>
          <w:sz w:val="20"/>
          <w:szCs w:val="20"/>
        </w:rPr>
        <w:t>. Predmetný súhlas sa nevyžaduje za predpokladu, že vybraným účastníkom súťaže je emitent akcií, ktoré sú predmetom súťaže. Ustanovenia tohto Oddielu sa budú aplikovať v kontexte s predchádzajúcou vetou primerane. V prípade, ak je vybraným účastníkom súťaže emitent akcií, nadobudne zmluva o prevode akcií účinnosť riadnym a včasným uplatnením predkupného práva (splnením odkladacej podmienky 1). Účinnosť zmluvy o prevode akcií s vybraným účastníkom súťaže, ktorý je akcionárom VVS, a. s., však nenastane skôr ako deň nasledujúci po dni jej zverejnenia v centrálnom registri zmlúv podľa § 47a ods. 1 Občianskeho zákonníka.</w:t>
      </w:r>
    </w:p>
    <w:p w14:paraId="4EC6AFF3">
      <w:pPr>
        <w:pStyle w:val="23"/>
        <w:shd w:val="clear" w:color="auto" w:fill="FFFFFF" w:themeFill="background1"/>
        <w:tabs>
          <w:tab w:val="left" w:pos="0"/>
          <w:tab w:val="left" w:pos="284"/>
        </w:tabs>
        <w:ind w:left="0"/>
        <w:jc w:val="both"/>
        <w:rPr>
          <w:rFonts w:ascii="Palatino Linotype" w:hAnsi="Palatino Linotype"/>
          <w:b/>
          <w:bCs/>
          <w:sz w:val="20"/>
          <w:szCs w:val="20"/>
        </w:rPr>
      </w:pPr>
    </w:p>
    <w:p w14:paraId="3758E368">
      <w:pPr>
        <w:pStyle w:val="23"/>
        <w:numPr>
          <w:ilvl w:val="0"/>
          <w:numId w:val="15"/>
        </w:numPr>
        <w:shd w:val="clear" w:color="auto" w:fill="FFFFFF" w:themeFill="background1"/>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Nadobudnutie účinnosti zmluvy o prevode akcií s vybraným účastníkom súťaže, ktorý nie je akcionárom VVS, a. s., je podmienené splnením</w:t>
      </w:r>
      <w:r>
        <w:rPr>
          <w:rFonts w:ascii="Palatino Linotype" w:hAnsi="Palatino Linotype"/>
          <w:i/>
          <w:iCs/>
          <w:sz w:val="20"/>
          <w:szCs w:val="20"/>
        </w:rPr>
        <w:t xml:space="preserve"> </w:t>
      </w:r>
      <w:r>
        <w:rPr>
          <w:rFonts w:ascii="Palatino Linotype" w:hAnsi="Palatino Linotype"/>
          <w:sz w:val="20"/>
          <w:szCs w:val="20"/>
        </w:rPr>
        <w:t>odkladacej podmienky 2 – udelením súhlasu VVS, a  s. s prevodom akcií a oznámením rozhodnutia vyhlasovateľovi súťaže podľa bodu 9 tohto Oddielu. Účinnosť zmluvy o prevode akcií s vybraným účastníkom súťaže, ktorý nie je akcionárom VVS, a. s., však nenastane skôr ako deň nasledujúci po dni jej zverejnenia v centrálnom registri zmlúv podľa § 47a ods. 1 Občianskeho zákonníka.</w:t>
      </w:r>
    </w:p>
    <w:p w14:paraId="6818D65C">
      <w:pPr>
        <w:pStyle w:val="23"/>
        <w:shd w:val="clear" w:color="auto" w:fill="FFFFFF" w:themeFill="background1"/>
        <w:tabs>
          <w:tab w:val="left" w:pos="0"/>
          <w:tab w:val="left" w:pos="284"/>
        </w:tabs>
        <w:ind w:left="0"/>
        <w:jc w:val="both"/>
        <w:rPr>
          <w:rFonts w:ascii="Palatino Linotype" w:hAnsi="Palatino Linotype"/>
          <w:b/>
          <w:bCs/>
          <w:sz w:val="20"/>
          <w:szCs w:val="20"/>
        </w:rPr>
      </w:pPr>
    </w:p>
    <w:p w14:paraId="1BE46F80">
      <w:pPr>
        <w:pStyle w:val="23"/>
        <w:numPr>
          <w:ilvl w:val="0"/>
          <w:numId w:val="15"/>
        </w:numPr>
        <w:shd w:val="clear" w:color="auto" w:fill="FFFFFF" w:themeFill="background1"/>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Vyhlasovateľ súťaže po prijatí návrhu vybraného účastníka súťaže, podá VVS, a. s., bezodkladne po uplynutí lehoty podľa bodu 8 tohto Oddielu, písomnú žiadosť o udelenie súhlasu s prevodom akcií, o čom bezprostredne upovedomí vybraného účastníka súťaže. Splnenie povinnosti vyhlasovateľa súťaže podľa predchádzajúcej vety, vyplývajúca zo stanov VVS, a. s., preukáže vybranému účastníkovi súťaže doručením fotokópie žiadosti o udelenie súhlasu s prevodom, s vykázaným záznamom o dni jej doručenia VVS, a. s., s týmito náležitosťami:</w:t>
      </w:r>
    </w:p>
    <w:p w14:paraId="25964071">
      <w:pPr>
        <w:pStyle w:val="23"/>
        <w:numPr>
          <w:ilvl w:val="0"/>
          <w:numId w:val="16"/>
        </w:numPr>
        <w:shd w:val="clear" w:color="auto" w:fill="FFFFFF" w:themeFill="background1"/>
        <w:tabs>
          <w:tab w:val="left" w:pos="0"/>
          <w:tab w:val="left" w:pos="284"/>
        </w:tabs>
        <w:spacing w:after="0" w:line="240" w:lineRule="auto"/>
        <w:contextualSpacing w:val="0"/>
        <w:jc w:val="both"/>
        <w:rPr>
          <w:rFonts w:ascii="Palatino Linotype" w:hAnsi="Palatino Linotype"/>
          <w:b/>
          <w:bCs/>
          <w:sz w:val="20"/>
          <w:szCs w:val="20"/>
        </w:rPr>
      </w:pPr>
      <w:r>
        <w:rPr>
          <w:rFonts w:ascii="Palatino Linotype" w:hAnsi="Palatino Linotype"/>
          <w:sz w:val="20"/>
          <w:szCs w:val="20"/>
        </w:rPr>
        <w:t>údaje o vyhlasovateľovi súťaže a akciách, ktorých sa žiadosť týka, a to najmä:</w:t>
      </w:r>
    </w:p>
    <w:p w14:paraId="1032F8B5">
      <w:pPr>
        <w:pStyle w:val="23"/>
        <w:shd w:val="clear" w:color="auto" w:fill="FFFFFF" w:themeFill="background1"/>
        <w:tabs>
          <w:tab w:val="left" w:pos="0"/>
          <w:tab w:val="left" w:pos="284"/>
        </w:tabs>
        <w:contextualSpacing w:val="0"/>
        <w:jc w:val="both"/>
        <w:rPr>
          <w:rFonts w:ascii="Palatino Linotype" w:hAnsi="Palatino Linotype"/>
          <w:sz w:val="20"/>
          <w:szCs w:val="20"/>
        </w:rPr>
      </w:pPr>
      <w:r>
        <w:rPr>
          <w:rFonts w:ascii="Palatino Linotype" w:hAnsi="Palatino Linotype"/>
          <w:sz w:val="20"/>
          <w:szCs w:val="20"/>
        </w:rPr>
        <w:t>- obchodné meno /názov/, IČO, sídlo, meno, priezvisko a rodné číslo štatutárneho orgánu alebo člena štatutárneho orgánu, ktorým akcionár – právnická osoba koná,</w:t>
      </w:r>
    </w:p>
    <w:p w14:paraId="0E7C0070">
      <w:pPr>
        <w:pStyle w:val="23"/>
        <w:shd w:val="clear" w:color="auto" w:fill="FFFFFF" w:themeFill="background1"/>
        <w:tabs>
          <w:tab w:val="left" w:pos="0"/>
          <w:tab w:val="left" w:pos="284"/>
        </w:tabs>
        <w:contextualSpacing w:val="0"/>
        <w:jc w:val="both"/>
        <w:rPr>
          <w:rFonts w:ascii="Palatino Linotype" w:hAnsi="Palatino Linotype"/>
          <w:sz w:val="20"/>
          <w:szCs w:val="20"/>
        </w:rPr>
      </w:pPr>
      <w:r>
        <w:rPr>
          <w:rFonts w:ascii="Palatino Linotype" w:hAnsi="Palatino Linotype"/>
          <w:sz w:val="20"/>
          <w:szCs w:val="20"/>
        </w:rPr>
        <w:t xml:space="preserve">- počet akcií, ich menovitú hodnotu a čísla akcií, ak sú pridelené, </w:t>
      </w:r>
    </w:p>
    <w:p w14:paraId="46298382">
      <w:pPr>
        <w:pStyle w:val="23"/>
        <w:shd w:val="clear" w:color="auto" w:fill="FFFFFF" w:themeFill="background1"/>
        <w:tabs>
          <w:tab w:val="left" w:pos="0"/>
          <w:tab w:val="left" w:pos="284"/>
        </w:tabs>
        <w:contextualSpacing w:val="0"/>
        <w:jc w:val="both"/>
        <w:rPr>
          <w:rFonts w:ascii="Palatino Linotype" w:hAnsi="Palatino Linotype"/>
          <w:sz w:val="20"/>
          <w:szCs w:val="20"/>
        </w:rPr>
      </w:pPr>
      <w:r>
        <w:rPr>
          <w:rFonts w:ascii="Palatino Linotype" w:hAnsi="Palatino Linotype"/>
          <w:sz w:val="20"/>
          <w:szCs w:val="20"/>
        </w:rPr>
        <w:t xml:space="preserve">- adresu na doručenie rozhodnutia spoločnosti, </w:t>
      </w:r>
    </w:p>
    <w:p w14:paraId="41A6DC42">
      <w:pPr>
        <w:pStyle w:val="23"/>
        <w:numPr>
          <w:ilvl w:val="0"/>
          <w:numId w:val="16"/>
        </w:numPr>
        <w:shd w:val="clear" w:color="auto" w:fill="FFFFFF" w:themeFill="background1"/>
        <w:tabs>
          <w:tab w:val="left" w:pos="0"/>
          <w:tab w:val="left" w:pos="284"/>
        </w:tabs>
        <w:spacing w:after="0" w:line="240" w:lineRule="auto"/>
        <w:contextualSpacing w:val="0"/>
        <w:jc w:val="both"/>
        <w:rPr>
          <w:rFonts w:ascii="Palatino Linotype" w:hAnsi="Palatino Linotype"/>
          <w:sz w:val="20"/>
          <w:szCs w:val="20"/>
        </w:rPr>
      </w:pPr>
      <w:r>
        <w:rPr>
          <w:rFonts w:ascii="Palatino Linotype" w:hAnsi="Palatino Linotype"/>
          <w:sz w:val="20"/>
          <w:szCs w:val="20"/>
        </w:rPr>
        <w:t xml:space="preserve"> podmienky predaja akcií akcionárovi, alebo tretej osobe, musia byť rovnaké, ako boli uvedené v ponuke na predaj ostatným akcionárom spoločnosti, </w:t>
      </w:r>
    </w:p>
    <w:p w14:paraId="395C9523">
      <w:pPr>
        <w:pStyle w:val="23"/>
        <w:numPr>
          <w:ilvl w:val="0"/>
          <w:numId w:val="16"/>
        </w:numPr>
        <w:shd w:val="clear" w:color="auto" w:fill="FFFFFF" w:themeFill="background1"/>
        <w:tabs>
          <w:tab w:val="left" w:pos="0"/>
          <w:tab w:val="left" w:pos="284"/>
        </w:tabs>
        <w:spacing w:after="0" w:line="240" w:lineRule="auto"/>
        <w:contextualSpacing w:val="0"/>
        <w:jc w:val="both"/>
        <w:rPr>
          <w:rFonts w:ascii="Palatino Linotype" w:hAnsi="Palatino Linotype"/>
          <w:sz w:val="20"/>
          <w:szCs w:val="20"/>
        </w:rPr>
      </w:pPr>
      <w:r>
        <w:rPr>
          <w:rFonts w:ascii="Palatino Linotype" w:hAnsi="Palatino Linotype"/>
          <w:sz w:val="20"/>
          <w:szCs w:val="20"/>
        </w:rPr>
        <w:t>dátum podania žiadosti a úradne overený podpis vyhlasovateľa súťaže.</w:t>
      </w:r>
    </w:p>
    <w:p w14:paraId="2FD22C4B">
      <w:pPr>
        <w:pStyle w:val="23"/>
        <w:shd w:val="clear" w:color="auto" w:fill="FFFFFF" w:themeFill="background1"/>
        <w:tabs>
          <w:tab w:val="left" w:pos="0"/>
          <w:tab w:val="left" w:pos="284"/>
        </w:tabs>
        <w:ind w:left="0"/>
        <w:contextualSpacing w:val="0"/>
        <w:jc w:val="both"/>
        <w:rPr>
          <w:rFonts w:ascii="Palatino Linotype" w:hAnsi="Palatino Linotype"/>
          <w:b/>
          <w:bCs/>
          <w:sz w:val="20"/>
          <w:szCs w:val="20"/>
        </w:rPr>
      </w:pPr>
      <w:r>
        <w:rPr>
          <w:rFonts w:ascii="Palatino Linotype" w:hAnsi="Palatino Linotype"/>
          <w:sz w:val="20"/>
          <w:szCs w:val="20"/>
        </w:rPr>
        <w:tab/>
      </w:r>
    </w:p>
    <w:p w14:paraId="2CFA0526">
      <w:pPr>
        <w:pStyle w:val="23"/>
        <w:numPr>
          <w:ilvl w:val="0"/>
          <w:numId w:val="15"/>
        </w:numPr>
        <w:shd w:val="clear" w:color="auto" w:fill="FFFFFF" w:themeFill="background1"/>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Žiadosť o udelenie súhlasu s prevodom musí byť doložená písomným dokladom o tom, že akcie, ktorých sa žiadosť týka, boli aspoň 90 dní pred podaním žiadosti ponúknuté na predaj akcionárom spoločnosti, a to takým spôsobom, aby bola ponuka dostupná všetkým akcionárom spoločnosti.</w:t>
      </w:r>
    </w:p>
    <w:p w14:paraId="0EA45CB9">
      <w:pPr>
        <w:pStyle w:val="23"/>
        <w:shd w:val="clear" w:color="auto" w:fill="FFFFFF" w:themeFill="background1"/>
        <w:tabs>
          <w:tab w:val="left" w:pos="0"/>
          <w:tab w:val="left" w:pos="284"/>
        </w:tabs>
        <w:ind w:left="0"/>
        <w:jc w:val="both"/>
        <w:rPr>
          <w:rFonts w:ascii="Palatino Linotype" w:hAnsi="Palatino Linotype"/>
          <w:b/>
          <w:bCs/>
          <w:sz w:val="20"/>
          <w:szCs w:val="20"/>
        </w:rPr>
      </w:pPr>
    </w:p>
    <w:p w14:paraId="5285D77C">
      <w:pPr>
        <w:pStyle w:val="23"/>
        <w:numPr>
          <w:ilvl w:val="0"/>
          <w:numId w:val="15"/>
        </w:numPr>
        <w:shd w:val="clear" w:color="auto" w:fill="FFFFFF" w:themeFill="background1"/>
        <w:tabs>
          <w:tab w:val="left" w:pos="0"/>
          <w:tab w:val="left" w:pos="284"/>
        </w:tabs>
        <w:spacing w:after="0" w:line="240" w:lineRule="auto"/>
        <w:ind w:left="0" w:firstLine="0"/>
        <w:contextualSpacing w:val="0"/>
        <w:jc w:val="both"/>
        <w:rPr>
          <w:rFonts w:ascii="Palatino Linotype" w:hAnsi="Palatino Linotype"/>
          <w:b/>
          <w:bCs/>
          <w:sz w:val="20"/>
          <w:szCs w:val="20"/>
        </w:rPr>
      </w:pPr>
      <w:r>
        <w:rPr>
          <w:rFonts w:ascii="Palatino Linotype" w:hAnsi="Palatino Linotype"/>
          <w:sz w:val="20"/>
          <w:szCs w:val="20"/>
        </w:rPr>
        <w:t>O udelení súhlasu VVS, a  s. s prevodom akcií, na podklade žiadosti o udelenie súhlasu s prevodom, rozhoduje dozorná rada na návrh predstavenstva. Dozorná rada však nie je návrhom predstavenstva viazaná. Dôvodom na odmietnutie udelenia súhlasu VVS, a  s. s prevodom akcií je výlučne neumožnenie vykonať predkupné právo akcionárom VVS, a. s.</w:t>
      </w:r>
      <w:r>
        <w:rPr>
          <w:rFonts w:ascii="Palatino Linotype" w:hAnsi="Palatino Linotype"/>
          <w:b/>
          <w:bCs/>
          <w:sz w:val="20"/>
          <w:szCs w:val="20"/>
        </w:rPr>
        <w:t xml:space="preserve"> </w:t>
      </w:r>
      <w:r>
        <w:rPr>
          <w:rFonts w:ascii="Palatino Linotype" w:hAnsi="Palatino Linotype"/>
          <w:sz w:val="20"/>
          <w:szCs w:val="20"/>
        </w:rPr>
        <w:t>VVS, a. s. je povinná o riadne podanej žiadosti o udelenie súhlasu rozhodnúť a toto rozhodnutie písomne oznámiť vyhlasovateľovi súťaže na adresu uvedenú v žiadosti, a  to v lehote 30 dní od jej doručenia predstavenstvu VVS, a. s. Dňom oznámenia rozhodnutia predstavenstva je podľa tohto bodu deň jeho podania na pošte.</w:t>
      </w:r>
    </w:p>
    <w:p w14:paraId="73A88550">
      <w:pPr>
        <w:pStyle w:val="23"/>
        <w:shd w:val="clear" w:color="auto" w:fill="FFFFFF" w:themeFill="background1"/>
        <w:tabs>
          <w:tab w:val="left" w:pos="0"/>
          <w:tab w:val="left" w:pos="284"/>
        </w:tabs>
        <w:ind w:left="0"/>
        <w:contextualSpacing w:val="0"/>
        <w:jc w:val="both"/>
        <w:rPr>
          <w:rFonts w:ascii="Palatino Linotype" w:hAnsi="Palatino Linotype"/>
          <w:b/>
          <w:bCs/>
          <w:sz w:val="20"/>
          <w:szCs w:val="20"/>
        </w:rPr>
      </w:pPr>
    </w:p>
    <w:p w14:paraId="230F4307">
      <w:pPr>
        <w:pStyle w:val="23"/>
        <w:numPr>
          <w:ilvl w:val="0"/>
          <w:numId w:val="15"/>
        </w:numPr>
        <w:shd w:val="clear" w:color="auto" w:fill="FFFFFF" w:themeFill="background1"/>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Vyhlasovateľ súťaže oznámi vybranému účastníkovi súťaže deň oznámenia rozhodnutia predstavenstva podľa predchádzajúceho bodu. Nesplnenie povinnosti vyhlasovateľa súťaže podľa predchádzajúcej vety má za následok vznik práva vybraného účastníka súťaže na náhradu škody.</w:t>
      </w:r>
    </w:p>
    <w:p w14:paraId="1B8B2BDA">
      <w:pPr>
        <w:pStyle w:val="23"/>
        <w:shd w:val="clear" w:color="auto" w:fill="FFFFFF" w:themeFill="background1"/>
        <w:tabs>
          <w:tab w:val="left" w:pos="0"/>
          <w:tab w:val="left" w:pos="284"/>
        </w:tabs>
        <w:ind w:left="0"/>
        <w:jc w:val="both"/>
        <w:rPr>
          <w:rFonts w:ascii="Palatino Linotype" w:hAnsi="Palatino Linotype"/>
          <w:b/>
          <w:bCs/>
          <w:sz w:val="20"/>
          <w:szCs w:val="20"/>
        </w:rPr>
      </w:pPr>
    </w:p>
    <w:p w14:paraId="451E0889">
      <w:pPr>
        <w:pStyle w:val="23"/>
        <w:numPr>
          <w:ilvl w:val="0"/>
          <w:numId w:val="15"/>
        </w:numPr>
        <w:shd w:val="clear" w:color="auto" w:fill="FFFFFF" w:themeFill="background1"/>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 xml:space="preserve"> Ak VVS, a  s. o žiadosti o udelenie súhlasu s prevodom akcií rozhodne tak, že súhlas neudelí, vyhlasovateľ súťaže nezodpovedá vybranému účastníkovi súťaže za spôsobenú škodu.</w:t>
      </w:r>
    </w:p>
    <w:p w14:paraId="2C3A4E68">
      <w:pPr>
        <w:pStyle w:val="23"/>
        <w:shd w:val="clear" w:color="auto" w:fill="FFFFFF" w:themeFill="background1"/>
        <w:tabs>
          <w:tab w:val="left" w:pos="0"/>
          <w:tab w:val="left" w:pos="284"/>
        </w:tabs>
        <w:ind w:left="0"/>
        <w:jc w:val="both"/>
        <w:rPr>
          <w:rFonts w:ascii="Palatino Linotype" w:hAnsi="Palatino Linotype"/>
          <w:b/>
          <w:bCs/>
          <w:sz w:val="20"/>
          <w:szCs w:val="20"/>
        </w:rPr>
      </w:pPr>
    </w:p>
    <w:p w14:paraId="53DEAF11">
      <w:pPr>
        <w:pStyle w:val="23"/>
        <w:numPr>
          <w:ilvl w:val="0"/>
          <w:numId w:val="15"/>
        </w:numPr>
        <w:shd w:val="clear" w:color="auto" w:fill="FFFFFF" w:themeFill="background1"/>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Ak nedôjde k splneniu odkladacej podmienky 1 a odkladacej podmienky 2, zmluva o prevode akcií medzi vyhlasovateľom súťaže a vybraným účastníkom súťaže, ktorý je akcionárom VVS, a. s. (po jej zverejnení v centrálnom registri zmlúv podľa § 47a Občianskeho zákonník) zaniká v celom rozsahu dňom oznámenia rozhodnutia o neudelení súhlasu s prevodom vyhlasovateľovi súťaže podľa bodu 9 tohto Oddielu podmienok súťaže. Ak nedôjde k splneniu odkladacej podmienky 2, zmluva o prevode akcií medzi vyhlasovateľom súťaže a vybraným účastníkom súťaže, ktorý nie je akcionárom VVS, a. s. (po jej zverejnení v centrálnom registri zmlúv podľa § 47a Občianskeho zákonník) zaniká v celom rozsahu dňom oznámenia rozhodnutia o neudelení súhlasu s prevodom vyhlasovateľovi súťaže podľa bodu 9 tohto Oddielu podmienok súťaže.  Ak nedôjde k splneniu odkladacej podmienky 1, zmluva o prevode akcií medzi vyhlasovateľom súťaže a vybraným účastníkom súťaže, ktorým je emitent akcií (po jej zverejnení v centrálnom registri zmlúv podľa § 47a Občianskeho zákonník), zaniká v celom rozsahu márnym uplynutím lehoty na uplatnenie predkupného práva.</w:t>
      </w:r>
    </w:p>
    <w:p w14:paraId="20EEFD5D">
      <w:pPr>
        <w:pStyle w:val="23"/>
        <w:tabs>
          <w:tab w:val="left" w:pos="0"/>
          <w:tab w:val="left" w:pos="284"/>
        </w:tabs>
        <w:ind w:left="0"/>
        <w:jc w:val="both"/>
        <w:rPr>
          <w:rFonts w:ascii="Palatino Linotype" w:hAnsi="Palatino Linotype"/>
          <w:b/>
          <w:bCs/>
          <w:sz w:val="20"/>
          <w:szCs w:val="20"/>
        </w:rPr>
      </w:pPr>
    </w:p>
    <w:p w14:paraId="0B7A98A1">
      <w:pPr>
        <w:pStyle w:val="23"/>
        <w:tabs>
          <w:tab w:val="left" w:pos="0"/>
          <w:tab w:val="left" w:pos="284"/>
        </w:tabs>
        <w:ind w:left="0"/>
        <w:jc w:val="both"/>
        <w:rPr>
          <w:rFonts w:ascii="Palatino Linotype" w:hAnsi="Palatino Linotype"/>
          <w:b/>
          <w:bCs/>
          <w:sz w:val="20"/>
          <w:szCs w:val="20"/>
        </w:rPr>
      </w:pPr>
    </w:p>
    <w:p w14:paraId="793E02AB">
      <w:pPr>
        <w:pStyle w:val="23"/>
        <w:numPr>
          <w:ilvl w:val="0"/>
          <w:numId w:val="8"/>
        </w:numPr>
        <w:tabs>
          <w:tab w:val="left" w:pos="0"/>
          <w:tab w:val="left" w:pos="284"/>
        </w:tabs>
        <w:spacing w:after="0" w:line="240" w:lineRule="auto"/>
        <w:jc w:val="both"/>
        <w:rPr>
          <w:rFonts w:ascii="Palatino Linotype" w:hAnsi="Palatino Linotype"/>
          <w:b/>
          <w:bCs/>
          <w:sz w:val="20"/>
          <w:szCs w:val="20"/>
        </w:rPr>
      </w:pPr>
      <w:r>
        <w:rPr>
          <w:rFonts w:ascii="Palatino Linotype" w:hAnsi="Palatino Linotype"/>
          <w:b/>
          <w:bCs/>
          <w:sz w:val="20"/>
          <w:szCs w:val="20"/>
        </w:rPr>
        <w:t>Práva vyhradené vyhlasovateľovi súťaže</w:t>
      </w:r>
    </w:p>
    <w:p w14:paraId="5AF96470">
      <w:pPr>
        <w:pStyle w:val="23"/>
        <w:tabs>
          <w:tab w:val="left" w:pos="0"/>
          <w:tab w:val="left" w:pos="284"/>
        </w:tabs>
        <w:ind w:left="153"/>
        <w:jc w:val="both"/>
        <w:rPr>
          <w:rFonts w:ascii="Palatino Linotype" w:hAnsi="Palatino Linotype"/>
          <w:b/>
          <w:bCs/>
          <w:sz w:val="20"/>
          <w:szCs w:val="20"/>
        </w:rPr>
      </w:pPr>
    </w:p>
    <w:p w14:paraId="2C8F025E">
      <w:pPr>
        <w:pStyle w:val="23"/>
        <w:numPr>
          <w:ilvl w:val="0"/>
          <w:numId w:val="17"/>
        </w:numPr>
        <w:tabs>
          <w:tab w:val="left" w:pos="0"/>
          <w:tab w:val="left" w:pos="284"/>
        </w:tabs>
        <w:spacing w:after="0" w:line="240" w:lineRule="auto"/>
        <w:ind w:left="284" w:hanging="284"/>
        <w:jc w:val="both"/>
        <w:rPr>
          <w:rFonts w:ascii="Palatino Linotype" w:hAnsi="Palatino Linotype"/>
          <w:b/>
          <w:bCs/>
          <w:sz w:val="20"/>
          <w:szCs w:val="20"/>
        </w:rPr>
      </w:pPr>
      <w:r>
        <w:rPr>
          <w:rFonts w:ascii="Palatino Linotype" w:hAnsi="Palatino Linotype"/>
          <w:sz w:val="20"/>
          <w:szCs w:val="20"/>
        </w:rPr>
        <w:t>Vyhlasovateľ súťaže si vyhradzuje právo:</w:t>
      </w:r>
    </w:p>
    <w:p w14:paraId="055A9649">
      <w:pPr>
        <w:pStyle w:val="23"/>
        <w:numPr>
          <w:ilvl w:val="0"/>
          <w:numId w:val="18"/>
        </w:numPr>
        <w:tabs>
          <w:tab w:val="left" w:pos="0"/>
          <w:tab w:val="left" w:pos="284"/>
        </w:tabs>
        <w:spacing w:after="0" w:line="240" w:lineRule="auto"/>
        <w:ind w:left="709"/>
        <w:jc w:val="both"/>
        <w:rPr>
          <w:rFonts w:ascii="Palatino Linotype" w:hAnsi="Palatino Linotype"/>
          <w:b/>
          <w:bCs/>
          <w:sz w:val="20"/>
          <w:szCs w:val="20"/>
        </w:rPr>
      </w:pPr>
      <w:r>
        <w:rPr>
          <w:rFonts w:ascii="Palatino Linotype" w:hAnsi="Palatino Linotype"/>
          <w:sz w:val="20"/>
          <w:szCs w:val="20"/>
        </w:rPr>
        <w:t>odmietnuť  všetky predložené súťažné návrhy a zrušiť súťaž bez výberu súťažného návrhu aj bez uvedenia dôvodu;</w:t>
      </w:r>
    </w:p>
    <w:p w14:paraId="7F442297">
      <w:pPr>
        <w:pStyle w:val="23"/>
        <w:numPr>
          <w:ilvl w:val="0"/>
          <w:numId w:val="18"/>
        </w:numPr>
        <w:tabs>
          <w:tab w:val="left" w:pos="0"/>
          <w:tab w:val="left" w:pos="284"/>
        </w:tabs>
        <w:spacing w:after="0" w:line="240" w:lineRule="auto"/>
        <w:ind w:left="709"/>
        <w:jc w:val="both"/>
        <w:rPr>
          <w:rFonts w:ascii="Palatino Linotype" w:hAnsi="Palatino Linotype"/>
          <w:b/>
          <w:bCs/>
          <w:sz w:val="20"/>
          <w:szCs w:val="20"/>
        </w:rPr>
      </w:pPr>
      <w:r>
        <w:rPr>
          <w:rFonts w:ascii="Palatino Linotype" w:hAnsi="Palatino Linotype"/>
          <w:sz w:val="20"/>
          <w:szCs w:val="20"/>
        </w:rPr>
        <w:t>meniť alebo doplniť podmienky súťaže do uplynutia lehoty určenej na predkladanie súťažných návrhov;</w:t>
      </w:r>
    </w:p>
    <w:p w14:paraId="73F00445">
      <w:pPr>
        <w:pStyle w:val="23"/>
        <w:numPr>
          <w:ilvl w:val="0"/>
          <w:numId w:val="18"/>
        </w:numPr>
        <w:tabs>
          <w:tab w:val="left" w:pos="0"/>
          <w:tab w:val="left" w:pos="284"/>
        </w:tabs>
        <w:spacing w:after="0" w:line="240" w:lineRule="auto"/>
        <w:ind w:left="709"/>
        <w:jc w:val="both"/>
        <w:rPr>
          <w:rFonts w:ascii="Palatino Linotype" w:hAnsi="Palatino Linotype"/>
          <w:b/>
          <w:bCs/>
          <w:sz w:val="20"/>
          <w:szCs w:val="20"/>
        </w:rPr>
      </w:pPr>
      <w:r>
        <w:rPr>
          <w:rFonts w:ascii="Palatino Linotype" w:hAnsi="Palatino Linotype"/>
          <w:sz w:val="20"/>
          <w:szCs w:val="20"/>
        </w:rPr>
        <w:t>pri formálnych nedostatkoch súťažného návrhu, ktoré nemenia jeho obsah, vyzvať navrhovateľa na doplnenie a vykonanie opravy;</w:t>
      </w:r>
    </w:p>
    <w:p w14:paraId="59E0D036">
      <w:pPr>
        <w:pStyle w:val="23"/>
        <w:numPr>
          <w:ilvl w:val="0"/>
          <w:numId w:val="18"/>
        </w:numPr>
        <w:tabs>
          <w:tab w:val="left" w:pos="0"/>
          <w:tab w:val="left" w:pos="284"/>
        </w:tabs>
        <w:spacing w:after="0" w:line="240" w:lineRule="auto"/>
        <w:ind w:left="709"/>
        <w:jc w:val="both"/>
        <w:rPr>
          <w:rFonts w:ascii="Palatino Linotype" w:hAnsi="Palatino Linotype"/>
          <w:b/>
          <w:bCs/>
          <w:sz w:val="20"/>
          <w:szCs w:val="20"/>
        </w:rPr>
      </w:pPr>
      <w:r>
        <w:rPr>
          <w:rFonts w:ascii="Palatino Linotype" w:hAnsi="Palatino Linotype"/>
          <w:sz w:val="20"/>
          <w:szCs w:val="20"/>
        </w:rPr>
        <w:t>predĺžiť lehotu na vyhlásenie výsledku súťaže;</w:t>
      </w:r>
    </w:p>
    <w:p w14:paraId="20A09F48">
      <w:pPr>
        <w:pStyle w:val="23"/>
        <w:numPr>
          <w:ilvl w:val="0"/>
          <w:numId w:val="18"/>
        </w:numPr>
        <w:tabs>
          <w:tab w:val="left" w:pos="0"/>
          <w:tab w:val="left" w:pos="284"/>
        </w:tabs>
        <w:spacing w:after="0" w:line="240" w:lineRule="auto"/>
        <w:ind w:left="709"/>
        <w:jc w:val="both"/>
        <w:rPr>
          <w:rFonts w:ascii="Palatino Linotype" w:hAnsi="Palatino Linotype"/>
          <w:b/>
          <w:bCs/>
          <w:sz w:val="20"/>
          <w:szCs w:val="20"/>
        </w:rPr>
      </w:pPr>
      <w:r>
        <w:rPr>
          <w:rFonts w:ascii="Palatino Linotype" w:hAnsi="Palatino Linotype"/>
          <w:sz w:val="20"/>
          <w:szCs w:val="20"/>
        </w:rPr>
        <w:t>po doručení protokolu o výsledku súťaže členmi komisie na posudzovanie súťažných návrhov, vrátiť vec súťažnej komisii na opätovné prerokovanie;</w:t>
      </w:r>
    </w:p>
    <w:p w14:paraId="4D0B43B4">
      <w:pPr>
        <w:pStyle w:val="23"/>
        <w:numPr>
          <w:ilvl w:val="0"/>
          <w:numId w:val="18"/>
        </w:numPr>
        <w:tabs>
          <w:tab w:val="left" w:pos="0"/>
          <w:tab w:val="left" w:pos="284"/>
        </w:tabs>
        <w:spacing w:after="0" w:line="240" w:lineRule="auto"/>
        <w:ind w:left="709" w:hanging="357"/>
        <w:contextualSpacing w:val="0"/>
        <w:jc w:val="both"/>
        <w:rPr>
          <w:rFonts w:ascii="Palatino Linotype" w:hAnsi="Palatino Linotype"/>
          <w:b/>
          <w:bCs/>
          <w:sz w:val="20"/>
          <w:szCs w:val="20"/>
        </w:rPr>
      </w:pPr>
      <w:r>
        <w:rPr>
          <w:rFonts w:ascii="Palatino Linotype" w:hAnsi="Palatino Linotype"/>
          <w:sz w:val="20"/>
          <w:szCs w:val="20"/>
        </w:rPr>
        <w:t>vyhlásiť novú súťaž s rovnakým predmetom, ak nedôjde k splneniu odkladacej podmienky 1 a/alebo odkladacej podmienky 2 a nastane zánik zmluvy o prevode akcií medzi vyhlasovateľom súťaže a vybraným účastníkom súťaže podľa Oddielu D. bod 12 týchto podmienok súťaže.</w:t>
      </w:r>
    </w:p>
    <w:p w14:paraId="44313339">
      <w:pPr>
        <w:pStyle w:val="23"/>
        <w:tabs>
          <w:tab w:val="left" w:pos="0"/>
          <w:tab w:val="left" w:pos="284"/>
        </w:tabs>
        <w:ind w:left="709"/>
        <w:jc w:val="both"/>
        <w:rPr>
          <w:rFonts w:ascii="Palatino Linotype" w:hAnsi="Palatino Linotype"/>
          <w:b/>
          <w:bCs/>
          <w:sz w:val="20"/>
          <w:szCs w:val="20"/>
        </w:rPr>
      </w:pPr>
    </w:p>
    <w:p w14:paraId="2E86DB96">
      <w:pPr>
        <w:pStyle w:val="23"/>
        <w:numPr>
          <w:ilvl w:val="0"/>
          <w:numId w:val="17"/>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 xml:space="preserve">Vyhlasovateľ súťaže môže podľa bodu 1 písm. a) tohto Oddielu podmienok súťaže odmietnuť všetky predložené súťažné návrhy, a to bez ohľadu na to, či spĺňajú podmienky súťaže. Vyhlasovateľ súťaže oznámi odmietnutie predloženého súťažného návrhu navrhovateľovi a zrušenie súťaže bez výberu súťažného návrhu do 2 </w:t>
      </w:r>
      <w:r>
        <w:rPr>
          <w:rFonts w:ascii="Palatino Linotype" w:hAnsi="Palatino Linotype"/>
          <w:i/>
          <w:iCs/>
          <w:sz w:val="20"/>
          <w:szCs w:val="20"/>
        </w:rPr>
        <w:t xml:space="preserve">(slovom dvoch) </w:t>
      </w:r>
      <w:r>
        <w:rPr>
          <w:rFonts w:ascii="Palatino Linotype" w:hAnsi="Palatino Linotype"/>
          <w:sz w:val="20"/>
          <w:szCs w:val="20"/>
        </w:rPr>
        <w:t>pracovných dní odo dňa termínu vyhodnocovania súťažných návrhov. Zrušenie súťaže vyhlasovateľ súťaže zároveň oznámi spôsobom, ktorým vyhlásil súťaž.</w:t>
      </w:r>
    </w:p>
    <w:p w14:paraId="06A2E715">
      <w:pPr>
        <w:tabs>
          <w:tab w:val="left" w:pos="0"/>
          <w:tab w:val="left" w:pos="284"/>
        </w:tabs>
        <w:jc w:val="both"/>
        <w:rPr>
          <w:rFonts w:ascii="Palatino Linotype" w:hAnsi="Palatino Linotype"/>
          <w:b/>
          <w:bCs/>
          <w:sz w:val="20"/>
          <w:szCs w:val="20"/>
        </w:rPr>
      </w:pPr>
    </w:p>
    <w:p w14:paraId="3287BF16">
      <w:pPr>
        <w:pStyle w:val="23"/>
        <w:numPr>
          <w:ilvl w:val="0"/>
          <w:numId w:val="17"/>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Vyhlasovateľ súťaže môže podľa bodu 1 písm. b) tohto Oddielu podmienok súťaže súťažné podmienky meniť, alebo doplniť, do uplynutia lehoty určenej na predkladanie súťažných návrhov, pričom zmenu alebo doplnenie oznámi rovnakým spôsobom, akým bola vyhlásená súťaž. Zmenu, alebo doplnenie, podmienok súťaže oznámi vyhlasovateľ súťaže spôsobom, ktorým vyhlásil súťaž.</w:t>
      </w:r>
    </w:p>
    <w:p w14:paraId="1CBA7A26">
      <w:pPr>
        <w:pStyle w:val="23"/>
        <w:tabs>
          <w:tab w:val="left" w:pos="0"/>
          <w:tab w:val="left" w:pos="284"/>
        </w:tabs>
        <w:ind w:left="0"/>
        <w:jc w:val="both"/>
        <w:rPr>
          <w:rFonts w:ascii="Palatino Linotype" w:hAnsi="Palatino Linotype"/>
          <w:b/>
          <w:bCs/>
          <w:sz w:val="20"/>
          <w:szCs w:val="20"/>
        </w:rPr>
      </w:pPr>
    </w:p>
    <w:p w14:paraId="38ECBE66">
      <w:pPr>
        <w:pStyle w:val="23"/>
        <w:numPr>
          <w:ilvl w:val="0"/>
          <w:numId w:val="17"/>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 xml:space="preserve">Vyhlasovateľ súťaže pri výzve na odstránenie formálnych nedostatkov súťažného návrhu podľa bodu 1 písm. c) tohto Oddielu podmienok súťaže poskytne dotknutému navrhovateľovi lehotu najviac 2 </w:t>
      </w:r>
      <w:r>
        <w:rPr>
          <w:rFonts w:ascii="Palatino Linotype" w:hAnsi="Palatino Linotype"/>
          <w:i/>
          <w:iCs/>
          <w:sz w:val="20"/>
          <w:szCs w:val="20"/>
        </w:rPr>
        <w:t xml:space="preserve">(slovom dvoch) </w:t>
      </w:r>
      <w:r>
        <w:rPr>
          <w:rFonts w:ascii="Palatino Linotype" w:hAnsi="Palatino Linotype"/>
          <w:sz w:val="20"/>
          <w:szCs w:val="20"/>
        </w:rPr>
        <w:t>pracovných dní na vykonanie opravy. Ak navrhovateľ súťažného návrhu formálne nedostatky v tejto lehote neodstráni, vyhlasovateľ súťaže súťažný návrh bez ďalšieho odmietne.</w:t>
      </w:r>
    </w:p>
    <w:p w14:paraId="6D512A8A">
      <w:pPr>
        <w:pStyle w:val="23"/>
        <w:tabs>
          <w:tab w:val="left" w:pos="0"/>
          <w:tab w:val="left" w:pos="284"/>
        </w:tabs>
        <w:ind w:left="0"/>
        <w:jc w:val="both"/>
        <w:rPr>
          <w:rFonts w:ascii="Palatino Linotype" w:hAnsi="Palatino Linotype"/>
          <w:b/>
          <w:bCs/>
          <w:sz w:val="20"/>
          <w:szCs w:val="20"/>
        </w:rPr>
      </w:pPr>
    </w:p>
    <w:p w14:paraId="5DD9E804">
      <w:pPr>
        <w:pStyle w:val="23"/>
        <w:numPr>
          <w:ilvl w:val="0"/>
          <w:numId w:val="17"/>
        </w:numPr>
        <w:tabs>
          <w:tab w:val="left" w:pos="0"/>
          <w:tab w:val="left" w:pos="284"/>
        </w:tabs>
        <w:spacing w:after="0" w:line="240" w:lineRule="auto"/>
        <w:ind w:left="0" w:firstLine="0"/>
        <w:jc w:val="both"/>
        <w:rPr>
          <w:rFonts w:ascii="Palatino Linotype" w:hAnsi="Palatino Linotype"/>
          <w:b/>
          <w:bCs/>
          <w:sz w:val="20"/>
          <w:szCs w:val="20"/>
        </w:rPr>
      </w:pPr>
      <w:r>
        <w:rPr>
          <w:rFonts w:ascii="Palatino Linotype" w:hAnsi="Palatino Linotype"/>
          <w:sz w:val="20"/>
          <w:szCs w:val="20"/>
        </w:rPr>
        <w:t>Vyhlasovateľ súťaže pri vrátení veci súťažnej komisii na opätovné prerokovanie podľa bodu 1 písm. e) tohto Oddielu podmienok súťaže musí súťažnej komisii uviesť dôvody, pre ktoré požaduje opätovné prerokovanie súťažných návrhov, s uvedením lehoty, do ktorej musí súťažná komisia opätovne prerokovať súťaž. Protokol o opätovnom prerokovaní  súťaže musí, okrem iného, obsahovať:</w:t>
      </w:r>
    </w:p>
    <w:p w14:paraId="0BA6D346">
      <w:pPr>
        <w:pStyle w:val="23"/>
        <w:numPr>
          <w:ilvl w:val="0"/>
          <w:numId w:val="19"/>
        </w:numPr>
        <w:tabs>
          <w:tab w:val="left" w:pos="0"/>
          <w:tab w:val="left" w:pos="284"/>
        </w:tabs>
        <w:spacing w:after="0" w:line="240" w:lineRule="auto"/>
        <w:jc w:val="both"/>
        <w:rPr>
          <w:rFonts w:ascii="Palatino Linotype" w:hAnsi="Palatino Linotype"/>
          <w:b/>
          <w:bCs/>
          <w:sz w:val="20"/>
          <w:szCs w:val="20"/>
        </w:rPr>
      </w:pPr>
      <w:r>
        <w:rPr>
          <w:rFonts w:ascii="Palatino Linotype" w:hAnsi="Palatino Linotype"/>
          <w:sz w:val="20"/>
          <w:szCs w:val="20"/>
        </w:rPr>
        <w:t>dôvody vyhlasovateľa súťaže, pre ktoré vrátil vec na opätovné prerokovanie,</w:t>
      </w:r>
    </w:p>
    <w:p w14:paraId="1A03D489">
      <w:pPr>
        <w:pStyle w:val="23"/>
        <w:numPr>
          <w:ilvl w:val="0"/>
          <w:numId w:val="19"/>
        </w:numPr>
        <w:tabs>
          <w:tab w:val="left" w:pos="0"/>
          <w:tab w:val="left" w:pos="284"/>
        </w:tabs>
        <w:spacing w:after="0" w:line="240" w:lineRule="auto"/>
        <w:jc w:val="both"/>
        <w:rPr>
          <w:rFonts w:ascii="Palatino Linotype" w:hAnsi="Palatino Linotype"/>
          <w:b/>
          <w:bCs/>
          <w:sz w:val="20"/>
          <w:szCs w:val="20"/>
        </w:rPr>
      </w:pPr>
      <w:r>
        <w:rPr>
          <w:rFonts w:ascii="Palatino Linotype" w:hAnsi="Palatino Linotype"/>
          <w:sz w:val="20"/>
          <w:szCs w:val="20"/>
        </w:rPr>
        <w:t> informáciu, či súťažná komisia dôvody opätovného prerokovania akceptuje, alebo neakceptuje, s uvedením námietok súťažnej komisie pri neakceptovaní dôvodov.</w:t>
      </w:r>
    </w:p>
    <w:p w14:paraId="1FFD56C6">
      <w:pPr>
        <w:tabs>
          <w:tab w:val="left" w:pos="0"/>
          <w:tab w:val="left" w:pos="284"/>
        </w:tabs>
        <w:jc w:val="both"/>
        <w:rPr>
          <w:rFonts w:ascii="Palatino Linotype" w:hAnsi="Palatino Linotype"/>
          <w:sz w:val="20"/>
          <w:szCs w:val="20"/>
        </w:rPr>
      </w:pPr>
      <w:r>
        <w:rPr>
          <w:rFonts w:ascii="Palatino Linotype" w:hAnsi="Palatino Linotype"/>
          <w:sz w:val="20"/>
          <w:szCs w:val="20"/>
        </w:rPr>
        <w:t xml:space="preserve">Vyhlasovateľ súťaže oznámi účastníkom súťaže výsledok opätovného prerokovania súťaže do 2 </w:t>
      </w:r>
      <w:r>
        <w:rPr>
          <w:rFonts w:ascii="Palatino Linotype" w:hAnsi="Palatino Linotype"/>
          <w:i/>
          <w:iCs/>
          <w:sz w:val="20"/>
          <w:szCs w:val="20"/>
        </w:rPr>
        <w:t>(slovom dvoch)</w:t>
      </w:r>
      <w:r>
        <w:rPr>
          <w:rFonts w:ascii="Palatino Linotype" w:hAnsi="Palatino Linotype"/>
          <w:sz w:val="20"/>
          <w:szCs w:val="20"/>
        </w:rPr>
        <w:t xml:space="preserve"> pracovných dní.</w:t>
      </w:r>
    </w:p>
    <w:p w14:paraId="54F6BCF3">
      <w:pPr>
        <w:tabs>
          <w:tab w:val="left" w:pos="0"/>
          <w:tab w:val="left" w:pos="284"/>
        </w:tabs>
        <w:jc w:val="both"/>
        <w:rPr>
          <w:rFonts w:ascii="Palatino Linotype" w:hAnsi="Palatino Linotype"/>
          <w:sz w:val="20"/>
          <w:szCs w:val="20"/>
        </w:rPr>
      </w:pPr>
    </w:p>
    <w:p w14:paraId="18BB9A02">
      <w:pPr>
        <w:pStyle w:val="23"/>
        <w:numPr>
          <w:ilvl w:val="0"/>
          <w:numId w:val="8"/>
        </w:numPr>
        <w:tabs>
          <w:tab w:val="left" w:pos="0"/>
          <w:tab w:val="left" w:pos="284"/>
        </w:tabs>
        <w:spacing w:after="0" w:line="240" w:lineRule="auto"/>
        <w:jc w:val="both"/>
        <w:rPr>
          <w:rFonts w:ascii="Palatino Linotype" w:hAnsi="Palatino Linotype"/>
          <w:b/>
          <w:bCs/>
          <w:sz w:val="20"/>
          <w:szCs w:val="20"/>
        </w:rPr>
      </w:pPr>
      <w:r>
        <w:rPr>
          <w:rFonts w:ascii="Palatino Linotype" w:hAnsi="Palatino Linotype"/>
          <w:b/>
          <w:bCs/>
          <w:sz w:val="20"/>
          <w:szCs w:val="20"/>
        </w:rPr>
        <w:t xml:space="preserve"> Právo na informácie</w:t>
      </w:r>
    </w:p>
    <w:p w14:paraId="70100F7F">
      <w:pPr>
        <w:pStyle w:val="23"/>
        <w:tabs>
          <w:tab w:val="left" w:pos="0"/>
          <w:tab w:val="left" w:pos="284"/>
        </w:tabs>
        <w:ind w:left="153"/>
        <w:jc w:val="both"/>
        <w:rPr>
          <w:rFonts w:ascii="Palatino Linotype" w:hAnsi="Palatino Linotype"/>
          <w:b/>
          <w:bCs/>
          <w:sz w:val="20"/>
          <w:szCs w:val="20"/>
        </w:rPr>
      </w:pPr>
    </w:p>
    <w:p w14:paraId="332F73FF">
      <w:pPr>
        <w:pStyle w:val="23"/>
        <w:numPr>
          <w:ilvl w:val="0"/>
          <w:numId w:val="20"/>
        </w:numPr>
        <w:tabs>
          <w:tab w:val="left" w:pos="284"/>
        </w:tabs>
        <w:spacing w:after="0" w:line="240" w:lineRule="auto"/>
        <w:ind w:left="0" w:firstLine="0"/>
        <w:jc w:val="both"/>
        <w:rPr>
          <w:rFonts w:ascii="Palatino Linotype" w:hAnsi="Palatino Linotype"/>
          <w:b/>
          <w:bCs/>
          <w:sz w:val="20"/>
          <w:szCs w:val="20"/>
          <w:u w:val="single"/>
        </w:rPr>
      </w:pPr>
      <w:r>
        <w:rPr>
          <w:rFonts w:ascii="Palatino Linotype" w:hAnsi="Palatino Linotype"/>
          <w:sz w:val="20"/>
          <w:szCs w:val="20"/>
        </w:rPr>
        <w:t>Vyhlasovateľ súťaže ako kontaktnú osobu určuje:</w:t>
      </w:r>
    </w:p>
    <w:p w14:paraId="3E81D707">
      <w:pPr>
        <w:pStyle w:val="23"/>
        <w:tabs>
          <w:tab w:val="left" w:pos="284"/>
        </w:tabs>
        <w:ind w:left="0"/>
        <w:jc w:val="both"/>
        <w:rPr>
          <w:rFonts w:ascii="Palatino Linotype" w:hAnsi="Palatino Linotype"/>
          <w:sz w:val="20"/>
          <w:szCs w:val="20"/>
        </w:rPr>
      </w:pPr>
      <w:r>
        <w:rPr>
          <w:rFonts w:ascii="Palatino Linotype" w:hAnsi="Palatino Linotype"/>
          <w:sz w:val="20"/>
          <w:szCs w:val="20"/>
        </w:rPr>
        <w:t>Meno a priezvisko: .....................</w:t>
      </w:r>
    </w:p>
    <w:p w14:paraId="1622F5C5">
      <w:pPr>
        <w:tabs>
          <w:tab w:val="left" w:pos="2880"/>
        </w:tabs>
        <w:ind w:left="284" w:hanging="284"/>
        <w:jc w:val="both"/>
        <w:rPr>
          <w:rFonts w:ascii="Palatino Linotype" w:hAnsi="Palatino Linotype"/>
          <w:bCs/>
          <w:sz w:val="20"/>
          <w:szCs w:val="20"/>
        </w:rPr>
      </w:pPr>
      <w:r>
        <w:rPr>
          <w:rFonts w:ascii="Palatino Linotype" w:hAnsi="Palatino Linotype"/>
          <w:bCs/>
          <w:sz w:val="20"/>
          <w:szCs w:val="20"/>
        </w:rPr>
        <w:t xml:space="preserve">E-mailová adresa kontaktnej osoby: </w:t>
      </w:r>
      <w:r>
        <w:rPr>
          <w:rFonts w:ascii="Palatino Linotype" w:hAnsi="Palatino Linotype"/>
          <w:sz w:val="20"/>
          <w:szCs w:val="20"/>
        </w:rPr>
        <w:t>.....................</w:t>
      </w:r>
    </w:p>
    <w:p w14:paraId="563B5251">
      <w:pPr>
        <w:pStyle w:val="23"/>
        <w:tabs>
          <w:tab w:val="left" w:pos="284"/>
        </w:tabs>
        <w:ind w:left="0"/>
        <w:jc w:val="both"/>
        <w:rPr>
          <w:rFonts w:ascii="Palatino Linotype" w:hAnsi="Palatino Linotype"/>
          <w:sz w:val="20"/>
          <w:szCs w:val="20"/>
        </w:rPr>
      </w:pPr>
      <w:r>
        <w:rPr>
          <w:rFonts w:ascii="Palatino Linotype" w:hAnsi="Palatino Linotype"/>
          <w:bCs/>
          <w:sz w:val="20"/>
          <w:szCs w:val="20"/>
        </w:rPr>
        <w:t xml:space="preserve">Telefónne číslo kontaktnej osoby: </w:t>
      </w:r>
      <w:r>
        <w:rPr>
          <w:rFonts w:ascii="Palatino Linotype" w:hAnsi="Palatino Linotype"/>
          <w:sz w:val="20"/>
          <w:szCs w:val="20"/>
        </w:rPr>
        <w:t>.....................</w:t>
      </w:r>
    </w:p>
    <w:p w14:paraId="3CD1DFC4">
      <w:pPr>
        <w:pStyle w:val="23"/>
        <w:tabs>
          <w:tab w:val="left" w:pos="284"/>
        </w:tabs>
        <w:ind w:left="0"/>
        <w:jc w:val="both"/>
        <w:rPr>
          <w:rFonts w:ascii="Palatino Linotype" w:hAnsi="Palatino Linotype"/>
          <w:sz w:val="20"/>
          <w:szCs w:val="20"/>
        </w:rPr>
      </w:pPr>
    </w:p>
    <w:p w14:paraId="5A824316">
      <w:pPr>
        <w:pStyle w:val="23"/>
        <w:numPr>
          <w:ilvl w:val="0"/>
          <w:numId w:val="20"/>
        </w:numPr>
        <w:tabs>
          <w:tab w:val="left" w:pos="284"/>
        </w:tabs>
        <w:spacing w:after="0" w:line="240" w:lineRule="auto"/>
        <w:ind w:left="0" w:firstLine="0"/>
        <w:jc w:val="both"/>
        <w:rPr>
          <w:rFonts w:ascii="Palatino Linotype" w:hAnsi="Palatino Linotype"/>
          <w:sz w:val="20"/>
          <w:szCs w:val="20"/>
        </w:rPr>
      </w:pPr>
      <w:r>
        <w:rPr>
          <w:rFonts w:ascii="Palatino Linotype" w:hAnsi="Palatino Linotype"/>
          <w:sz w:val="20"/>
          <w:szCs w:val="20"/>
        </w:rPr>
        <w:t>Podmienky súťaže je možné získať v čase úradných hodín stránkových dní Obecného úradu obce Svätá Mária v lehote od vyhlásenia súťaže po deň uzávierky predkladania návrhov podľa Oddielu C. bod 6 podmienok súťaže v sídle vyhlasovateľa súťaže alebo na webovom sídle vyhlasovateľa súťaže (www.svatamaria.sk). Kontaktná osoba záujemcom o účasť v súťaži podmienky súťaže sprístupní formou nahliadnutia,</w:t>
      </w:r>
      <w:r>
        <w:rPr>
          <w:rFonts w:ascii="Palatino Linotype" w:hAnsi="Palatino Linotype"/>
        </w:rPr>
        <w:t xml:space="preserve"> alebo</w:t>
      </w:r>
      <w:r>
        <w:rPr>
          <w:rFonts w:ascii="Palatino Linotype" w:hAnsi="Palatino Linotype"/>
          <w:sz w:val="20"/>
          <w:szCs w:val="20"/>
        </w:rPr>
        <w:t xml:space="preserve"> vyhotovením kópie na náklady záujemcu, ktorý o kópiu vyhlasovateľa súťaže požiadal. Žiadosť o nahliadnutie musí byť doručená v písomnej forme, pričom táto je naplnená, ak je žiadosť doručená vyhlasovateľovi súťaže v listinnej podobe do podateľne Obecného úradu obce Svätá Mária, alebo v elektronickej forme na e-mailovú adresu kontaktnej osoby, alebo cez elektronickú schránku. Žiadosť podľa predchádzajúcej vety obsahuje: identifikačné údaje záujemcu, deň a čas navrhovaného nahliadnutia do dokumentov. Kontaktná osoba deň a čas nahliadnutia podľa predchádzajúcej vety záujemcovi potvrdí, alebo navrhne nový dátum a čas sprístupnenia dokumentov.</w:t>
      </w:r>
    </w:p>
    <w:p w14:paraId="52547783">
      <w:pPr>
        <w:pStyle w:val="23"/>
        <w:tabs>
          <w:tab w:val="left" w:pos="284"/>
        </w:tabs>
        <w:ind w:left="0"/>
        <w:jc w:val="both"/>
        <w:rPr>
          <w:rFonts w:ascii="Palatino Linotype" w:hAnsi="Palatino Linotype"/>
          <w:b/>
          <w:bCs/>
          <w:sz w:val="20"/>
          <w:szCs w:val="20"/>
          <w:u w:val="single"/>
        </w:rPr>
      </w:pPr>
    </w:p>
    <w:p w14:paraId="0D79B23C">
      <w:pPr>
        <w:pStyle w:val="23"/>
        <w:tabs>
          <w:tab w:val="left" w:pos="284"/>
        </w:tabs>
        <w:ind w:left="0"/>
        <w:jc w:val="both"/>
        <w:rPr>
          <w:rFonts w:ascii="Palatino Linotype" w:hAnsi="Palatino Linotype"/>
          <w:sz w:val="20"/>
          <w:szCs w:val="20"/>
        </w:rPr>
      </w:pPr>
      <w:r>
        <w:rPr>
          <w:rFonts w:ascii="Palatino Linotype" w:hAnsi="Palatino Linotype"/>
          <w:sz w:val="20"/>
          <w:szCs w:val="20"/>
        </w:rPr>
        <w:t xml:space="preserve">Fotokópia stanov VVS, a  s. je od vyhlásenia súťaže po deň uzávierky predkladania návrhov fyzicky uložená v sídle vyhlasovateľa súťaže a na webovom sídle www.vodarne.eu. Kontaktná osoba dokumenty podľa predchádzajúcej vety záujemcom o účasť v súťaži sprístupní formou nahliadnutia v čase úradných hodín stránkových dní Obecného úradu obce Svätá Mária na základe písomnej žiadosti. Žiadosť o nahliadnutie je urobená v písomnej forme, ak je táto doručená vyhlasovateľovi súťaže v listinnej podobe do podateľne Obecného úradu obce Svätá Mária, alebo v elektronickej forme na e-mailovú adresu kontaktnej osoby. Žiadosť podľa predchádzajúcej vety obsahuje: identifikačné údaje záujemcu, deň a čas navrhovaného nahliadnutia do dokumentov. Kontaktná osoba deň a čas nahliadnutia podľa predchádzajúcej vety záujemcovi potvrdí, alebo navrhne nový dátum a čas sprístupnenia dokumentov. Záujemca o účasť v súťaži nemá právo požiadať o vyhotovenie kópie dokumentov podľa tohto bodu, ani  si z uvedených dokumentov vyhotoviť vlastné obrazové záznamy. Dokumenty podľa tohto bodu budú sprístupnené len tým právnickým osobám, ktoré napĺňajú legálnu definíciu subjektu verejného práva podľa § 3 ods. 3 zákona o verejných vodovodoch a verejných kanalizáciách. Žiadosť o nahliadnutie podaná inou osobou bude posúdená tak, že jej vyhlasovateľ súťaže nevyhovie. Spolu so žiadosťou o nahliadnutie musí záujemca o účasť v súťaži predložiť vyhlásenie o vzniku jeho záväzku mlčanlivosti o veciach, ktoré sa dozvie pri uplatňovaní práva na informácie v priebehu súťaže, najmä, ale nielen informácie vyplývajúce zo stanov VVS, a  s. </w:t>
      </w:r>
    </w:p>
    <w:p w14:paraId="10B772E1">
      <w:pPr>
        <w:pStyle w:val="23"/>
        <w:tabs>
          <w:tab w:val="left" w:pos="284"/>
        </w:tabs>
        <w:ind w:left="0"/>
        <w:jc w:val="both"/>
        <w:rPr>
          <w:rFonts w:ascii="Palatino Linotype" w:hAnsi="Palatino Linotype"/>
          <w:b/>
          <w:bCs/>
          <w:sz w:val="20"/>
          <w:szCs w:val="20"/>
          <w:u w:val="single"/>
        </w:rPr>
      </w:pPr>
    </w:p>
    <w:p w14:paraId="68BED55D">
      <w:pPr>
        <w:pStyle w:val="23"/>
        <w:numPr>
          <w:ilvl w:val="0"/>
          <w:numId w:val="20"/>
        </w:numPr>
        <w:tabs>
          <w:tab w:val="left" w:pos="284"/>
        </w:tabs>
        <w:spacing w:after="0" w:line="240" w:lineRule="auto"/>
        <w:ind w:left="0" w:firstLine="0"/>
        <w:jc w:val="both"/>
        <w:rPr>
          <w:rFonts w:ascii="Palatino Linotype" w:hAnsi="Palatino Linotype"/>
          <w:b/>
          <w:bCs/>
          <w:sz w:val="20"/>
          <w:szCs w:val="20"/>
          <w:u w:val="single"/>
        </w:rPr>
      </w:pPr>
      <w:r>
        <w:rPr>
          <w:rFonts w:ascii="Palatino Linotype" w:hAnsi="Palatino Linotype"/>
          <w:sz w:val="20"/>
          <w:szCs w:val="20"/>
        </w:rPr>
        <w:t>Ak záujemca o účasť v súťaži, alebo účastník súťaže, oznámi kontaktnej osobe vyhlasovateľa súťaže svoju emailovú adresu alebo elektronickú schránku, vyhlasovateľ súťaže bude tieto osoby bez zbytočného odkladu informovať o zmene súťažných podmienok, prípadne o ďalších skutočnostiach, ktoré budú zverejnené na webovom sídle vyhlasovateľa súťaže dodatočne po dni vyhlásenia súťaže.</w:t>
      </w:r>
    </w:p>
    <w:p w14:paraId="7C0C3064">
      <w:pPr>
        <w:pStyle w:val="23"/>
        <w:tabs>
          <w:tab w:val="left" w:pos="284"/>
        </w:tabs>
        <w:ind w:left="0"/>
        <w:jc w:val="both"/>
        <w:rPr>
          <w:rFonts w:ascii="Palatino Linotype" w:hAnsi="Palatino Linotype"/>
          <w:b/>
          <w:bCs/>
          <w:sz w:val="20"/>
          <w:szCs w:val="20"/>
          <w:u w:val="single"/>
        </w:rPr>
      </w:pPr>
    </w:p>
    <w:p w14:paraId="7AA963D6">
      <w:pPr>
        <w:pStyle w:val="23"/>
        <w:numPr>
          <w:ilvl w:val="0"/>
          <w:numId w:val="8"/>
        </w:numPr>
        <w:tabs>
          <w:tab w:val="left" w:pos="0"/>
          <w:tab w:val="left" w:pos="284"/>
        </w:tabs>
        <w:spacing w:after="0" w:line="240" w:lineRule="auto"/>
        <w:jc w:val="both"/>
        <w:rPr>
          <w:rFonts w:ascii="Palatino Linotype" w:hAnsi="Palatino Linotype"/>
          <w:b/>
          <w:bCs/>
          <w:sz w:val="20"/>
          <w:szCs w:val="20"/>
        </w:rPr>
      </w:pPr>
      <w:r>
        <w:rPr>
          <w:rFonts w:ascii="Palatino Linotype" w:hAnsi="Palatino Linotype"/>
          <w:b/>
          <w:bCs/>
          <w:sz w:val="20"/>
          <w:szCs w:val="20"/>
        </w:rPr>
        <w:t xml:space="preserve">Spôsob vyhodnocovania súťažných návrhov </w:t>
      </w:r>
    </w:p>
    <w:p w14:paraId="4F67FE27">
      <w:pPr>
        <w:tabs>
          <w:tab w:val="left" w:pos="0"/>
          <w:tab w:val="left" w:pos="284"/>
        </w:tabs>
        <w:jc w:val="both"/>
        <w:rPr>
          <w:rFonts w:ascii="Palatino Linotype" w:hAnsi="Palatino Linotype"/>
          <w:b/>
          <w:bCs/>
          <w:sz w:val="20"/>
          <w:szCs w:val="20"/>
        </w:rPr>
      </w:pPr>
    </w:p>
    <w:p w14:paraId="638E1048">
      <w:pPr>
        <w:pStyle w:val="23"/>
        <w:numPr>
          <w:ilvl w:val="0"/>
          <w:numId w:val="21"/>
        </w:numPr>
        <w:tabs>
          <w:tab w:val="left" w:pos="0"/>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sz w:val="20"/>
          <w:szCs w:val="20"/>
        </w:rPr>
        <w:t xml:space="preserve">Na vyhodnotenie predložených súťažných návrhov vymenuje vyhlasovateľ súťaže trojčlennú komisiu </w:t>
      </w:r>
      <w:r>
        <w:rPr>
          <w:rFonts w:ascii="Palatino Linotype" w:hAnsi="Palatino Linotype"/>
          <w:i/>
          <w:iCs/>
          <w:sz w:val="20"/>
          <w:szCs w:val="20"/>
        </w:rPr>
        <w:t>(ďalej aj „súťažná komisia“)</w:t>
      </w:r>
      <w:r>
        <w:rPr>
          <w:rFonts w:ascii="Palatino Linotype" w:hAnsi="Palatino Linotype"/>
          <w:sz w:val="20"/>
          <w:szCs w:val="20"/>
        </w:rPr>
        <w:t xml:space="preserve">. Vyhodnocovanie súťažných návrhov sa uskutoční v sídle vyhlasovateľa súťaže. Vyhodnocovania súťažných návrhov sa môžu zúčastniť len navrhovatelia, ktorí predložili súťažné návrhy. Vyhlasovateľ súťaže určuje predbežný termín vyhodnocovania súťažných návrhov: </w:t>
      </w:r>
      <w:r>
        <w:rPr>
          <w:rFonts w:ascii="Palatino Linotype" w:hAnsi="Palatino Linotype"/>
          <w:b/>
          <w:bCs/>
          <w:sz w:val="20"/>
          <w:szCs w:val="20"/>
        </w:rPr>
        <w:t>.......</w:t>
      </w:r>
      <w:r>
        <w:rPr>
          <w:rFonts w:ascii="Palatino Linotype" w:hAnsi="Palatino Linotype"/>
          <w:sz w:val="20"/>
          <w:szCs w:val="20"/>
        </w:rPr>
        <w:t>. Vyhlasovateľ súťaže bez zbytočného odkladu po uplynutí lehoty na predkladanie súťažných návrhov a zverejnení súťažných návrhov podľa § 9a ods. 4 zákona o majetku obcí zverejní na svojom webovom sídle presný termín a čas vyhodnocovania súťažných návrhov. Termín a čas vyhodnocovania súťažných návrhov nebude určený skôr, ako uplynie lehota na zverejnenie súťažných návrhov podľa § 9a ods. 4 zákona o majetku obcí.</w:t>
      </w:r>
    </w:p>
    <w:p w14:paraId="5C138C7F">
      <w:pPr>
        <w:tabs>
          <w:tab w:val="left" w:pos="0"/>
          <w:tab w:val="left" w:pos="284"/>
        </w:tabs>
        <w:jc w:val="both"/>
        <w:rPr>
          <w:rFonts w:ascii="Palatino Linotype" w:hAnsi="Palatino Linotype"/>
          <w:sz w:val="20"/>
          <w:szCs w:val="20"/>
        </w:rPr>
      </w:pPr>
    </w:p>
    <w:p w14:paraId="7501C504">
      <w:pPr>
        <w:pStyle w:val="23"/>
        <w:numPr>
          <w:ilvl w:val="0"/>
          <w:numId w:val="21"/>
        </w:numPr>
        <w:tabs>
          <w:tab w:val="left" w:pos="0"/>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sz w:val="20"/>
          <w:szCs w:val="20"/>
        </w:rPr>
        <w:t>Pred otvorením prvého súťažného návrhu oznámi predseda súťažnej komisie počet došlých návrhov. Na</w:t>
      </w:r>
      <w:r>
        <w:rPr>
          <w:rFonts w:ascii="Palatino Linotype" w:hAnsi="Palatino Linotype"/>
          <w:color w:val="FF0000"/>
          <w:sz w:val="20"/>
          <w:szCs w:val="20"/>
        </w:rPr>
        <w:t xml:space="preserve"> </w:t>
      </w:r>
      <w:r>
        <w:rPr>
          <w:rFonts w:ascii="Palatino Linotype" w:hAnsi="Palatino Linotype"/>
          <w:sz w:val="20"/>
          <w:szCs w:val="20"/>
        </w:rPr>
        <w:t>súťažné návrhy doručené po uplynutí lehoty na predkladanie súťažných návrhov</w:t>
      </w:r>
      <w:r>
        <w:rPr>
          <w:rFonts w:ascii="Palatino Linotype" w:hAnsi="Palatino Linotype"/>
          <w:strike/>
          <w:sz w:val="20"/>
          <w:szCs w:val="20"/>
        </w:rPr>
        <w:t xml:space="preserve"> </w:t>
      </w:r>
      <w:r>
        <w:rPr>
          <w:rFonts w:ascii="Palatino Linotype" w:hAnsi="Palatino Linotype"/>
          <w:sz w:val="20"/>
          <w:szCs w:val="20"/>
        </w:rPr>
        <w:t xml:space="preserve">vyhlasovateľ súťaže neprihliada. Na súťažný návrh, v ktorom nebude splnená niektorá z podmienok súťaže, vyhlasovateľ súťaže neprihliada. To neplatí, ak ide len o formálne nedostatky návrhu, ktoré nemenia obsah návrhu a je ich možné odstrániť. V takomto prípade súťažná komisia preruší vyhodnocovanie súťažných návrhov a o tejto skutočnosti upovedomí vyhlasovateľa súťaže, s odporúčaním, aby navrhovateľa tohto súťažného návrhu vyzval na odstránenie formálnych nedostatkov v určenej lehote.  </w:t>
      </w:r>
    </w:p>
    <w:p w14:paraId="5FF02555">
      <w:pPr>
        <w:pStyle w:val="23"/>
        <w:tabs>
          <w:tab w:val="left" w:pos="0"/>
          <w:tab w:val="left" w:pos="284"/>
        </w:tabs>
        <w:ind w:left="0"/>
        <w:contextualSpacing w:val="0"/>
        <w:jc w:val="both"/>
        <w:rPr>
          <w:rFonts w:ascii="Palatino Linotype" w:hAnsi="Palatino Linotype"/>
          <w:sz w:val="20"/>
          <w:szCs w:val="20"/>
        </w:rPr>
      </w:pPr>
    </w:p>
    <w:p w14:paraId="1AD529E3">
      <w:pPr>
        <w:pStyle w:val="23"/>
        <w:numPr>
          <w:ilvl w:val="0"/>
          <w:numId w:val="21"/>
        </w:numPr>
        <w:tabs>
          <w:tab w:val="left" w:pos="0"/>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sz w:val="20"/>
          <w:szCs w:val="20"/>
        </w:rPr>
        <w:t xml:space="preserve"> O vyhodnotení súťaže sa spíše protokol, do ktorého sa uvedú názvy/obchodné mená a sídla navrhovateľov, či návrhy obsahujú všetky požadované náležitosti, ponúkané ceny, spôsob hodnotenia a výsledok hodnotenia. Súťažná komisia overí zápis navrhovateľov v registri partnerov verejného sektora podľa </w:t>
      </w:r>
      <w:r>
        <w:rPr>
          <w:rFonts w:ascii="Palatino Linotype" w:hAnsi="Palatino Linotype"/>
          <w:bCs/>
          <w:sz w:val="20"/>
          <w:szCs w:val="20"/>
        </w:rPr>
        <w:t xml:space="preserve">zákona č. 315/2016 Z.  z. o registri partnerov verejného sektora a o zmene a doplnení niektorých zákonov v z. n. p. </w:t>
      </w:r>
      <w:r>
        <w:rPr>
          <w:rFonts w:ascii="Palatino Linotype" w:hAnsi="Palatino Linotype"/>
          <w:bCs/>
          <w:i/>
          <w:iCs/>
          <w:sz w:val="20"/>
          <w:szCs w:val="20"/>
        </w:rPr>
        <w:t>(ďalej len „zákon o RPVS“)</w:t>
      </w:r>
      <w:r>
        <w:rPr>
          <w:rFonts w:ascii="Palatino Linotype" w:hAnsi="Palatino Linotype"/>
          <w:sz w:val="20"/>
          <w:szCs w:val="20"/>
        </w:rPr>
        <w:t>. Členovia súťažnej komisie určia poradie súťažných návrhov a podpíšu protokol. Podpísaný protokol členovia súťažnej komisie bezodkladne doručia štatutárnemu orgánu vyhlasovateľa súťaže.</w:t>
      </w:r>
    </w:p>
    <w:p w14:paraId="7EB4B48A">
      <w:pPr>
        <w:pStyle w:val="23"/>
        <w:tabs>
          <w:tab w:val="left" w:pos="0"/>
          <w:tab w:val="left" w:pos="284"/>
        </w:tabs>
        <w:ind w:left="0"/>
        <w:contextualSpacing w:val="0"/>
        <w:jc w:val="both"/>
        <w:rPr>
          <w:rFonts w:ascii="Palatino Linotype" w:hAnsi="Palatino Linotype"/>
          <w:sz w:val="20"/>
          <w:szCs w:val="20"/>
        </w:rPr>
      </w:pPr>
    </w:p>
    <w:p w14:paraId="757F127B">
      <w:pPr>
        <w:pStyle w:val="23"/>
        <w:numPr>
          <w:ilvl w:val="0"/>
          <w:numId w:val="21"/>
        </w:numPr>
        <w:tabs>
          <w:tab w:val="left" w:pos="0"/>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sz w:val="20"/>
          <w:szCs w:val="20"/>
        </w:rPr>
        <w:t>Zo súťaže sa vylučujú:</w:t>
      </w:r>
    </w:p>
    <w:p w14:paraId="26F4FEBB">
      <w:pPr>
        <w:numPr>
          <w:ilvl w:val="0"/>
          <w:numId w:val="22"/>
        </w:num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súťažné návrhy, ktoré nespĺňajú podmienky súťaže, ak vyhlasovateľ súťaže nevyzval navrhovateľa na odstránenie nedostatkov,</w:t>
      </w:r>
    </w:p>
    <w:p w14:paraId="1FDD2420">
      <w:pPr>
        <w:numPr>
          <w:ilvl w:val="0"/>
          <w:numId w:val="22"/>
        </w:num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 xml:space="preserve">súťažné návrhy navrhovateľov, na majetok ktorých bol vyhlásený konkurz, počas súťaže bolo proti nim začaté konkurzné konanie alebo reštrukturalizácia, bol proti nim zamietnutý návrh na vyhlásenie konkurzu pre nedostatok majetku, </w:t>
      </w:r>
    </w:p>
    <w:p w14:paraId="01BFB173">
      <w:pPr>
        <w:numPr>
          <w:ilvl w:val="0"/>
          <w:numId w:val="22"/>
        </w:num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súťažné návrhy navrhovateľov, ktorí majú akékoľvek finančné záväzky po lehote splatnosti a iné záväzky po uplynutí lehoty na plnenie voči vyhlasovateľovi súťaže,</w:t>
      </w:r>
    </w:p>
    <w:p w14:paraId="320749BE">
      <w:pPr>
        <w:numPr>
          <w:ilvl w:val="0"/>
          <w:numId w:val="22"/>
        </w:num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súťažné návrhy navrhovateľov, v ktorých vyhlasovateľ súťaže zistí, že navrhovateľ uviedol nepravdivé údaje v návrhu alebo v jeho prílohách,</w:t>
      </w:r>
    </w:p>
    <w:p w14:paraId="5CA4C402">
      <w:pPr>
        <w:numPr>
          <w:ilvl w:val="0"/>
          <w:numId w:val="22"/>
        </w:num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 xml:space="preserve">súťažné návrhy navrhovateľov, ktorých návrh bol vyhodnotený ako najvhodnejší a títo ani v ustanovenej lehote podľa bodu 7 tohto Oddielu nepreukážu dodatočný zápis v registri partnerov verejného sektora, ak im táto povinnosť vyplýva zo </w:t>
      </w:r>
      <w:r>
        <w:rPr>
          <w:rFonts w:ascii="Palatino Linotype" w:hAnsi="Palatino Linotype"/>
          <w:bCs/>
          <w:sz w:val="20"/>
          <w:szCs w:val="20"/>
        </w:rPr>
        <w:t>zákona  o RPVS</w:t>
      </w:r>
      <w:r>
        <w:rPr>
          <w:rFonts w:ascii="Palatino Linotype" w:hAnsi="Palatino Linotype"/>
          <w:sz w:val="20"/>
          <w:szCs w:val="20"/>
        </w:rPr>
        <w:t>.</w:t>
      </w:r>
    </w:p>
    <w:p w14:paraId="3800643B">
      <w:pPr>
        <w:autoSpaceDE w:val="0"/>
        <w:autoSpaceDN w:val="0"/>
        <w:adjustRightInd w:val="0"/>
        <w:ind w:left="720"/>
        <w:jc w:val="both"/>
        <w:rPr>
          <w:rFonts w:ascii="Palatino Linotype" w:hAnsi="Palatino Linotype"/>
          <w:sz w:val="20"/>
          <w:szCs w:val="20"/>
        </w:rPr>
      </w:pPr>
    </w:p>
    <w:p w14:paraId="02120DAB">
      <w:pPr>
        <w:pStyle w:val="23"/>
        <w:numPr>
          <w:ilvl w:val="0"/>
          <w:numId w:val="21"/>
        </w:numPr>
        <w:tabs>
          <w:tab w:val="left" w:pos="0"/>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sz w:val="20"/>
          <w:szCs w:val="20"/>
        </w:rPr>
        <w:t>Súťaž je platná, ak sa jej zúčastní najmenej jeden navrhovateľ, ktorý splnil podmienky súťaže.</w:t>
      </w:r>
    </w:p>
    <w:p w14:paraId="09A3119F">
      <w:pPr>
        <w:pStyle w:val="23"/>
        <w:tabs>
          <w:tab w:val="left" w:pos="0"/>
          <w:tab w:val="left" w:pos="284"/>
        </w:tabs>
        <w:ind w:left="0"/>
        <w:contextualSpacing w:val="0"/>
        <w:jc w:val="both"/>
        <w:rPr>
          <w:rFonts w:ascii="Palatino Linotype" w:hAnsi="Palatino Linotype"/>
          <w:sz w:val="20"/>
          <w:szCs w:val="20"/>
        </w:rPr>
      </w:pPr>
    </w:p>
    <w:p w14:paraId="4FE7B297">
      <w:pPr>
        <w:pStyle w:val="23"/>
        <w:numPr>
          <w:ilvl w:val="0"/>
          <w:numId w:val="21"/>
        </w:numPr>
        <w:tabs>
          <w:tab w:val="left" w:pos="0"/>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sz w:val="20"/>
          <w:szCs w:val="20"/>
        </w:rPr>
        <w:t xml:space="preserve">Vyhlasovateľ súťaže v prípade splnenia všetkých podmienok súťaže, ak neuplatní svoje právo odmietnuť všetky súťažné návrhy a zrušiť súťaž, vyberie </w:t>
      </w:r>
      <w:r>
        <w:rPr>
          <w:rFonts w:ascii="Palatino Linotype" w:hAnsi="Palatino Linotype"/>
          <w:b/>
          <w:bCs/>
          <w:sz w:val="20"/>
          <w:szCs w:val="20"/>
        </w:rPr>
        <w:t>výhradne jeden súťažný návrh</w:t>
      </w:r>
      <w:r>
        <w:rPr>
          <w:rFonts w:ascii="Palatino Linotype" w:hAnsi="Palatino Linotype"/>
          <w:sz w:val="20"/>
          <w:szCs w:val="20"/>
        </w:rPr>
        <w:t>. Navrhovatelia nemajú právo na pomerné vykúpenie akcií podľa predložených súťažných návrhov.</w:t>
      </w:r>
    </w:p>
    <w:p w14:paraId="06BB33AD">
      <w:pPr>
        <w:pStyle w:val="23"/>
        <w:tabs>
          <w:tab w:val="left" w:pos="0"/>
          <w:tab w:val="left" w:pos="284"/>
        </w:tabs>
        <w:ind w:left="0"/>
        <w:contextualSpacing w:val="0"/>
        <w:jc w:val="both"/>
        <w:rPr>
          <w:rFonts w:ascii="Palatino Linotype" w:hAnsi="Palatino Linotype"/>
          <w:sz w:val="20"/>
          <w:szCs w:val="20"/>
        </w:rPr>
      </w:pPr>
    </w:p>
    <w:p w14:paraId="56BA1C75">
      <w:pPr>
        <w:pStyle w:val="23"/>
        <w:numPr>
          <w:ilvl w:val="0"/>
          <w:numId w:val="21"/>
        </w:numPr>
        <w:tabs>
          <w:tab w:val="left" w:pos="0"/>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bCs/>
          <w:sz w:val="20"/>
          <w:szCs w:val="20"/>
        </w:rPr>
        <w:t xml:space="preserve">Navrhovateľ, ktorého súťažný návrh bol vyhodnotený ako najvhodnejší a nie je zapísaný v registri partnerov verejného sektora podľa zákona o RPVS, je povinný zapísať sa do uvedeného registra do 10 </w:t>
      </w:r>
      <w:r>
        <w:rPr>
          <w:rFonts w:ascii="Palatino Linotype" w:hAnsi="Palatino Linotype"/>
          <w:bCs/>
          <w:i/>
          <w:iCs/>
          <w:sz w:val="20"/>
          <w:szCs w:val="20"/>
        </w:rPr>
        <w:t xml:space="preserve">(slovom desiatich) </w:t>
      </w:r>
      <w:r>
        <w:rPr>
          <w:rFonts w:ascii="Palatino Linotype" w:hAnsi="Palatino Linotype"/>
          <w:bCs/>
          <w:sz w:val="20"/>
          <w:szCs w:val="20"/>
        </w:rPr>
        <w:t xml:space="preserve">dní od doručenia výzvy vyhlasovateľa súťaže </w:t>
      </w:r>
      <w:r>
        <w:rPr>
          <w:rFonts w:ascii="Palatino Linotype" w:hAnsi="Palatino Linotype"/>
          <w:bCs/>
          <w:i/>
          <w:iCs/>
          <w:sz w:val="20"/>
          <w:szCs w:val="20"/>
        </w:rPr>
        <w:t>(ďalej aj „výzva na zápis do RPVS“)</w:t>
      </w:r>
      <w:r>
        <w:rPr>
          <w:rFonts w:ascii="Palatino Linotype" w:hAnsi="Palatino Linotype"/>
          <w:bCs/>
          <w:sz w:val="20"/>
          <w:szCs w:val="20"/>
        </w:rPr>
        <w:t xml:space="preserve">.  Výzvu na zápis do RPVS vyhlasovateľ súťaže adresuje navrhovateľovi do 2 </w:t>
      </w:r>
      <w:r>
        <w:rPr>
          <w:rFonts w:ascii="Palatino Linotype" w:hAnsi="Palatino Linotype"/>
          <w:bCs/>
          <w:i/>
          <w:iCs/>
          <w:sz w:val="20"/>
          <w:szCs w:val="20"/>
        </w:rPr>
        <w:t>(slovom dvoch)</w:t>
      </w:r>
      <w:r>
        <w:rPr>
          <w:rFonts w:ascii="Palatino Linotype" w:hAnsi="Palatino Linotype"/>
          <w:bCs/>
          <w:sz w:val="20"/>
          <w:szCs w:val="20"/>
        </w:rPr>
        <w:t xml:space="preserve"> dní od termínu vyhodnocovania súťažných návrhov. Navrhovateľ je povinný preukázať zápis do registra partnerov verejného sektora v lehote do 10 </w:t>
      </w:r>
      <w:r>
        <w:rPr>
          <w:rFonts w:ascii="Palatino Linotype" w:hAnsi="Palatino Linotype"/>
          <w:bCs/>
          <w:i/>
          <w:iCs/>
          <w:sz w:val="20"/>
          <w:szCs w:val="20"/>
        </w:rPr>
        <w:t>(slovom desiatich)</w:t>
      </w:r>
      <w:r>
        <w:rPr>
          <w:rFonts w:ascii="Palatino Linotype" w:hAnsi="Palatino Linotype"/>
          <w:bCs/>
          <w:sz w:val="20"/>
          <w:szCs w:val="20"/>
        </w:rPr>
        <w:t xml:space="preserve"> dní od doručenia výzvy na zápis do RPVS. Ak navrhovateľ nepreukáže zápis v uvedenej lehote, platí nevyvrátiteľná domnienka, že navrhovateľ nie je zapísaný v registri partnerov verejného sektora a vyhlasovateľ súťaže vylúči zo súťaže jeho súťažný návrh podľa bodu 4 písm. e) tohto Oddielu podmienok súťaže.</w:t>
      </w:r>
    </w:p>
    <w:p w14:paraId="3CE29F94">
      <w:pPr>
        <w:pStyle w:val="23"/>
        <w:tabs>
          <w:tab w:val="left" w:pos="0"/>
          <w:tab w:val="left" w:pos="284"/>
        </w:tabs>
        <w:ind w:left="0"/>
        <w:contextualSpacing w:val="0"/>
        <w:jc w:val="both"/>
        <w:rPr>
          <w:rFonts w:ascii="Palatino Linotype" w:hAnsi="Palatino Linotype"/>
          <w:sz w:val="20"/>
          <w:szCs w:val="20"/>
        </w:rPr>
      </w:pPr>
    </w:p>
    <w:p w14:paraId="5D10B9E5">
      <w:pPr>
        <w:pStyle w:val="23"/>
        <w:numPr>
          <w:ilvl w:val="0"/>
          <w:numId w:val="21"/>
        </w:numPr>
        <w:tabs>
          <w:tab w:val="left" w:pos="0"/>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sz w:val="20"/>
          <w:szCs w:val="20"/>
        </w:rPr>
        <w:t xml:space="preserve">Vyhlasovateľ súťaže oznámi navrhovateľovi jeho vylúčenie cez elektronickú schránku, s uvedením dôvodu vylúčenia do 30 </w:t>
      </w:r>
      <w:r>
        <w:rPr>
          <w:rFonts w:ascii="Palatino Linotype" w:hAnsi="Palatino Linotype"/>
          <w:i/>
          <w:iCs/>
          <w:sz w:val="20"/>
          <w:szCs w:val="20"/>
        </w:rPr>
        <w:t>(slovom tridsiatich) dní</w:t>
      </w:r>
      <w:r>
        <w:rPr>
          <w:rFonts w:ascii="Palatino Linotype" w:hAnsi="Palatino Linotype"/>
          <w:sz w:val="20"/>
          <w:szCs w:val="20"/>
        </w:rPr>
        <w:t xml:space="preserve"> od termínu vyhodnocovania súťažných návrhov, alebo termínu opätovného prerokovania súťažných návrhov pri uplatnení práva vyhlasovateľa súťaže podľa Oddielu E. bod 1 písm. e) týchto podmienok súťaže. To neplatí v prípade vylúčenia zo súťaže podľa bodu 4 písm. e) tohto Oddielu podmienok súťaže, kedy plynie lehota 30 </w:t>
      </w:r>
      <w:r>
        <w:rPr>
          <w:rFonts w:ascii="Palatino Linotype" w:hAnsi="Palatino Linotype"/>
          <w:i/>
          <w:iCs/>
          <w:sz w:val="20"/>
          <w:szCs w:val="20"/>
        </w:rPr>
        <w:t xml:space="preserve">(slovom tridsiatich) </w:t>
      </w:r>
      <w:r>
        <w:rPr>
          <w:rFonts w:ascii="Palatino Linotype" w:hAnsi="Palatino Linotype"/>
          <w:sz w:val="20"/>
          <w:szCs w:val="20"/>
        </w:rPr>
        <w:t xml:space="preserve">dní na oznámenie vylúčenia spolu s odôvodnením márnym uplynutím lehoty na preukázanie dodatočného zápisu v registri partnerov verejného sektora podľa bodu 7 tohto Oddielu podmienok súťaže.  </w:t>
      </w:r>
    </w:p>
    <w:p w14:paraId="65B86AD1">
      <w:pPr>
        <w:pStyle w:val="23"/>
        <w:tabs>
          <w:tab w:val="left" w:pos="0"/>
          <w:tab w:val="left" w:pos="284"/>
        </w:tabs>
        <w:ind w:left="0"/>
        <w:contextualSpacing w:val="0"/>
        <w:jc w:val="both"/>
        <w:rPr>
          <w:rFonts w:ascii="Palatino Linotype" w:hAnsi="Palatino Linotype"/>
          <w:sz w:val="20"/>
          <w:szCs w:val="20"/>
        </w:rPr>
      </w:pPr>
    </w:p>
    <w:p w14:paraId="6EE6D1F4">
      <w:pPr>
        <w:pStyle w:val="23"/>
        <w:numPr>
          <w:ilvl w:val="0"/>
          <w:numId w:val="21"/>
        </w:numPr>
        <w:tabs>
          <w:tab w:val="left" w:pos="0"/>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sz w:val="20"/>
          <w:szCs w:val="20"/>
        </w:rPr>
        <w:t xml:space="preserve">Vyhlasovateľ súťaže oznámi navrhovateľovi, že jeho návrh bol vyhodnotený ako najvhodnejší cez elektronickú schránku, do 15 </w:t>
      </w:r>
      <w:r>
        <w:rPr>
          <w:rFonts w:ascii="Palatino Linotype" w:hAnsi="Palatino Linotype"/>
          <w:i/>
          <w:iCs/>
          <w:sz w:val="20"/>
          <w:szCs w:val="20"/>
        </w:rPr>
        <w:t>(slovom pätnástich)</w:t>
      </w:r>
      <w:r>
        <w:rPr>
          <w:rFonts w:ascii="Palatino Linotype" w:hAnsi="Palatino Linotype"/>
          <w:sz w:val="20"/>
          <w:szCs w:val="20"/>
        </w:rPr>
        <w:t xml:space="preserve"> dní od termínu vyhodnocovania súťažných návrhov, alebo termínu opätovného prerokovania súťažných návrhov pri uplatnení práva vyhlasovateľa súťaže podľa Oddielu E. bod 1 písm. e) týchto podmienok súťaže nie však skôr ako navrhovateľ preukáže dodatočný zápis v registri partnerov verejného sektora podľa bodu 7 tohto Oddielu podmienok súťaže. </w:t>
      </w:r>
      <w:r>
        <w:rPr>
          <w:rFonts w:ascii="Palatino Linotype" w:hAnsi="Palatino Linotype" w:cs="Open Sans"/>
          <w:sz w:val="20"/>
          <w:szCs w:val="20"/>
        </w:rPr>
        <w:t>Vyhlasovateľ súťaže v rovnakej lehote a cez elektronickú schránku, upovedomí navrhovateľov, ktorí v súťaži neuspeli, že ich návrhy sa odmietli.</w:t>
      </w:r>
    </w:p>
    <w:p w14:paraId="28116B6A">
      <w:pPr>
        <w:pStyle w:val="23"/>
        <w:tabs>
          <w:tab w:val="left" w:pos="0"/>
          <w:tab w:val="left" w:pos="284"/>
        </w:tabs>
        <w:ind w:left="0"/>
        <w:contextualSpacing w:val="0"/>
        <w:jc w:val="both"/>
        <w:rPr>
          <w:rFonts w:ascii="Palatino Linotype" w:hAnsi="Palatino Linotype"/>
          <w:sz w:val="20"/>
          <w:szCs w:val="20"/>
        </w:rPr>
      </w:pPr>
    </w:p>
    <w:p w14:paraId="3F527908">
      <w:pPr>
        <w:pStyle w:val="23"/>
        <w:numPr>
          <w:ilvl w:val="0"/>
          <w:numId w:val="21"/>
        </w:numPr>
        <w:tabs>
          <w:tab w:val="left" w:pos="0"/>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sz w:val="20"/>
          <w:szCs w:val="20"/>
        </w:rPr>
        <w:t>Najvhodnejší súťažný návrh bude prijatý dňom podpísania návrhu zmluvy o prevode akcií štatutárnym orgánom vyhlasovateľa súťaže. Rovnopis podpísanej zmluvy o prevode akcií podľa predchádzajúcej vety zašle vyhlasovateľ súťaže navrhovateľovi, ktorého súťažný návrh bol prijatý, spolu s oznámením o prijatí súťažného návrhu podľa bodu 9 tohto Oddielu</w:t>
      </w:r>
      <w:r>
        <w:rPr>
          <w:rStyle w:val="12"/>
        </w:rPr>
        <w:t> </w:t>
      </w:r>
      <w:r>
        <w:rPr>
          <w:rFonts w:ascii="Palatino Linotype" w:hAnsi="Palatino Linotype"/>
          <w:sz w:val="20"/>
          <w:szCs w:val="20"/>
        </w:rPr>
        <w:t>.</w:t>
      </w:r>
    </w:p>
    <w:p w14:paraId="59F9F23C">
      <w:pPr>
        <w:pStyle w:val="23"/>
        <w:tabs>
          <w:tab w:val="left" w:pos="0"/>
          <w:tab w:val="left" w:pos="284"/>
        </w:tabs>
        <w:ind w:left="0"/>
        <w:contextualSpacing w:val="0"/>
        <w:jc w:val="both"/>
        <w:rPr>
          <w:rFonts w:ascii="Palatino Linotype" w:hAnsi="Palatino Linotype"/>
          <w:sz w:val="20"/>
          <w:szCs w:val="20"/>
        </w:rPr>
      </w:pPr>
    </w:p>
    <w:p w14:paraId="64CEC8D4">
      <w:pPr>
        <w:pStyle w:val="23"/>
        <w:numPr>
          <w:ilvl w:val="0"/>
          <w:numId w:val="21"/>
        </w:numPr>
        <w:tabs>
          <w:tab w:val="left" w:pos="0"/>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bCs/>
          <w:sz w:val="20"/>
          <w:szCs w:val="20"/>
        </w:rPr>
        <w:t>V prípade, že s navrhovateľom najvhodnejšieho návrhu nebude uzatvorená zmluva v lehote určenej vyhlasovateľom súťaže z dôvodu na strane navrhovateľa, môže vyhlasovateľ súťaže uzavrieť zmluvu o prevode akcií s navrhovateľom, ktorý sa vo vyhodnotení súťaže umiestnil ako ďalší v poradí.</w:t>
      </w:r>
    </w:p>
    <w:p w14:paraId="6BFB4F78">
      <w:pPr>
        <w:pStyle w:val="23"/>
        <w:tabs>
          <w:tab w:val="left" w:pos="0"/>
          <w:tab w:val="left" w:pos="284"/>
        </w:tabs>
        <w:ind w:left="0"/>
        <w:contextualSpacing w:val="0"/>
        <w:jc w:val="both"/>
        <w:rPr>
          <w:rFonts w:ascii="Palatino Linotype" w:hAnsi="Palatino Linotype"/>
          <w:sz w:val="20"/>
          <w:szCs w:val="20"/>
        </w:rPr>
      </w:pPr>
    </w:p>
    <w:p w14:paraId="2324A25C">
      <w:pPr>
        <w:pStyle w:val="23"/>
        <w:numPr>
          <w:ilvl w:val="0"/>
          <w:numId w:val="8"/>
        </w:numPr>
        <w:tabs>
          <w:tab w:val="left" w:pos="-426"/>
        </w:tabs>
        <w:spacing w:after="0" w:line="240" w:lineRule="auto"/>
        <w:jc w:val="both"/>
        <w:rPr>
          <w:rFonts w:ascii="Palatino Linotype" w:hAnsi="Palatino Linotype"/>
          <w:sz w:val="20"/>
          <w:szCs w:val="20"/>
        </w:rPr>
      </w:pPr>
      <w:r>
        <w:rPr>
          <w:rFonts w:ascii="Palatino Linotype" w:hAnsi="Palatino Linotype"/>
          <w:b/>
          <w:bCs/>
          <w:sz w:val="20"/>
          <w:szCs w:val="20"/>
        </w:rPr>
        <w:t>Kritéria na vyhodnocovanie súťažných návrhov</w:t>
      </w:r>
    </w:p>
    <w:p w14:paraId="4F756F53">
      <w:pPr>
        <w:pStyle w:val="23"/>
        <w:tabs>
          <w:tab w:val="left" w:pos="-426"/>
        </w:tabs>
        <w:ind w:left="153"/>
        <w:jc w:val="both"/>
        <w:rPr>
          <w:rFonts w:ascii="Palatino Linotype" w:hAnsi="Palatino Linotype"/>
          <w:b/>
          <w:bCs/>
          <w:sz w:val="20"/>
          <w:szCs w:val="20"/>
        </w:rPr>
      </w:pPr>
    </w:p>
    <w:p w14:paraId="673C9D10">
      <w:pPr>
        <w:pStyle w:val="23"/>
        <w:numPr>
          <w:ilvl w:val="0"/>
          <w:numId w:val="23"/>
        </w:numPr>
        <w:tabs>
          <w:tab w:val="left" w:pos="0"/>
          <w:tab w:val="left" w:pos="284"/>
        </w:tabs>
        <w:spacing w:after="0" w:line="240" w:lineRule="auto"/>
        <w:ind w:left="0" w:firstLine="0"/>
        <w:jc w:val="both"/>
        <w:rPr>
          <w:rFonts w:ascii="Palatino Linotype" w:hAnsi="Palatino Linotype"/>
          <w:sz w:val="20"/>
          <w:szCs w:val="20"/>
        </w:rPr>
      </w:pPr>
      <w:r>
        <w:rPr>
          <w:rFonts w:ascii="Palatino Linotype" w:hAnsi="Palatino Linotype"/>
          <w:sz w:val="20"/>
          <w:szCs w:val="20"/>
        </w:rPr>
        <w:t>Vyhlasovateľ súťaže si vyhradzuje právo vybrať najvhodnejší súťažný návrh. Pri posudzovaní najvhodnejšieho návrhu bude vyhlasovateľ súťaže zohľadňovať nasledovné kritéria so stanovenou hodnotou:</w:t>
      </w:r>
    </w:p>
    <w:p w14:paraId="1B626DD2">
      <w:pPr>
        <w:pStyle w:val="23"/>
        <w:tabs>
          <w:tab w:val="left" w:pos="180"/>
          <w:tab w:val="left" w:pos="851"/>
        </w:tabs>
        <w:ind w:left="0"/>
        <w:jc w:val="both"/>
        <w:rPr>
          <w:rFonts w:ascii="Palatino Linotype" w:hAnsi="Palatino Linotype"/>
          <w:sz w:val="20"/>
          <w:szCs w:val="20"/>
        </w:rPr>
      </w:pPr>
      <w:r>
        <w:t xml:space="preserve">                                  </w:t>
      </w:r>
      <w:r>
        <w:rPr>
          <w:rFonts w:ascii="Palatino Linotype" w:hAnsi="Palatino Linotype"/>
          <w:sz w:val="20"/>
          <w:szCs w:val="20"/>
        </w:rPr>
        <w:t>Kritérium                                                          Maximálna hodnota kritéria</w:t>
      </w:r>
    </w:p>
    <w:p w14:paraId="2A1BC032">
      <w:pPr>
        <w:tabs>
          <w:tab w:val="left" w:pos="180"/>
          <w:tab w:val="left" w:pos="851"/>
        </w:tabs>
        <w:jc w:val="both"/>
      </w:pPr>
      <w:r>
        <w:drawing>
          <wp:inline distT="0" distB="0" distL="0" distR="0">
            <wp:extent cx="5655945" cy="2122805"/>
            <wp:effectExtent l="63500" t="38100" r="8255" b="74295"/>
            <wp:docPr id="1617611583"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05A90CC5">
      <w:pPr>
        <w:pStyle w:val="23"/>
        <w:tabs>
          <w:tab w:val="left" w:pos="-426"/>
          <w:tab w:val="left" w:pos="284"/>
        </w:tabs>
        <w:ind w:left="0"/>
        <w:jc w:val="both"/>
        <w:rPr>
          <w:rFonts w:ascii="Palatino Linotype" w:hAnsi="Palatino Linotype"/>
          <w:sz w:val="20"/>
          <w:szCs w:val="20"/>
        </w:rPr>
      </w:pPr>
    </w:p>
    <w:p w14:paraId="415B836F">
      <w:pPr>
        <w:pStyle w:val="23"/>
        <w:numPr>
          <w:ilvl w:val="0"/>
          <w:numId w:val="23"/>
        </w:numPr>
        <w:tabs>
          <w:tab w:val="left" w:pos="-426"/>
          <w:tab w:val="left" w:pos="284"/>
        </w:tabs>
        <w:spacing w:after="0" w:line="240" w:lineRule="auto"/>
        <w:ind w:left="0" w:firstLine="0"/>
        <w:jc w:val="both"/>
        <w:rPr>
          <w:rFonts w:ascii="Palatino Linotype" w:hAnsi="Palatino Linotype"/>
          <w:sz w:val="20"/>
          <w:szCs w:val="20"/>
        </w:rPr>
      </w:pPr>
      <w:r>
        <w:rPr>
          <w:rFonts w:ascii="Palatino Linotype" w:hAnsi="Palatino Linotype"/>
          <w:sz w:val="20"/>
          <w:szCs w:val="20"/>
        </w:rPr>
        <w:t xml:space="preserve">Pri vyhodnocovaní súťažných návrhov vyhlasovateľ súťaže posudzuje splnenie kritérií a priznanie konkrétneho počtu bodov v rozsahu najviac do hodnoty kritéria podľa matematického pravidla priamej úmery (čím vyššia navrhovaná kúpna cena/počet dlhopisov navrhovaných na prevod, tým vyššia hodnota splneného kritéria). Pri vyhodnocovaní súťažných návrhov vyhlasovateľ súťaže posudzuje splnenie kritéria pri navrhovanej kúpnej/upisovacej cene za prevod dlhopisov a priznanie konkrétneho počtu bodov v rozsahu najviac do hodnoty kritéria podľa matematického pravidla nepriamej úmery (čím vyššia navrhovaná kúpna cena/upisovacia cena za prevod dlhopisov ako menovitá hodnota dlhopisov, tým nižšia hodnota splneného kritéria). </w:t>
      </w:r>
    </w:p>
    <w:p w14:paraId="6ECE170F">
      <w:pPr>
        <w:pStyle w:val="23"/>
        <w:tabs>
          <w:tab w:val="left" w:pos="-426"/>
          <w:tab w:val="left" w:pos="284"/>
        </w:tabs>
        <w:ind w:left="0"/>
        <w:jc w:val="both"/>
        <w:rPr>
          <w:rFonts w:ascii="Palatino Linotype" w:hAnsi="Palatino Linotype"/>
          <w:sz w:val="20"/>
          <w:szCs w:val="20"/>
        </w:rPr>
      </w:pPr>
    </w:p>
    <w:p w14:paraId="73577D34">
      <w:pPr>
        <w:pStyle w:val="23"/>
        <w:tabs>
          <w:tab w:val="left" w:pos="-426"/>
          <w:tab w:val="left" w:pos="284"/>
        </w:tabs>
        <w:ind w:left="0"/>
        <w:jc w:val="both"/>
        <w:rPr>
          <w:rFonts w:ascii="Palatino Linotype" w:hAnsi="Palatino Linotype"/>
          <w:sz w:val="20"/>
          <w:szCs w:val="20"/>
        </w:rPr>
      </w:pPr>
      <w:r>
        <w:rPr>
          <w:rFonts w:ascii="Palatino Linotype" w:hAnsi="Palatino Linotype"/>
          <w:sz w:val="20"/>
          <w:szCs w:val="20"/>
        </w:rPr>
        <w:t>Súťažný návrh s najvyššou hodnotou kritéria získava najvyšší počet bodov, ostatné návrhy získavajú počet bodov úmerne k hodnote kritéria (aritmeticky prepočítané).</w:t>
      </w:r>
    </w:p>
    <w:p w14:paraId="7E6B1D29">
      <w:pPr>
        <w:pStyle w:val="23"/>
        <w:tabs>
          <w:tab w:val="left" w:pos="-426"/>
          <w:tab w:val="left" w:pos="284"/>
        </w:tabs>
        <w:ind w:left="0"/>
        <w:jc w:val="both"/>
        <w:rPr>
          <w:rFonts w:ascii="Palatino Linotype" w:hAnsi="Palatino Linotype"/>
          <w:sz w:val="20"/>
          <w:szCs w:val="20"/>
        </w:rPr>
      </w:pPr>
    </w:p>
    <w:p w14:paraId="6E4AB609">
      <w:pPr>
        <w:pStyle w:val="23"/>
        <w:numPr>
          <w:ilvl w:val="0"/>
          <w:numId w:val="23"/>
        </w:numPr>
        <w:tabs>
          <w:tab w:val="left" w:pos="-426"/>
          <w:tab w:val="left" w:pos="284"/>
        </w:tabs>
        <w:spacing w:after="0" w:line="240" w:lineRule="auto"/>
        <w:ind w:left="0" w:firstLine="0"/>
        <w:jc w:val="both"/>
        <w:rPr>
          <w:rFonts w:ascii="Palatino Linotype" w:hAnsi="Palatino Linotype"/>
          <w:sz w:val="20"/>
          <w:szCs w:val="20"/>
        </w:rPr>
      </w:pPr>
      <w:r>
        <w:rPr>
          <w:rFonts w:ascii="Palatino Linotype" w:hAnsi="Palatino Linotype"/>
          <w:sz w:val="20"/>
          <w:szCs w:val="20"/>
        </w:rPr>
        <w:t>Súťažná komisia vyhodnotí súťažné návrhy podľa uvedených pravidiel a určí poradie navrhovateľov.</w:t>
      </w:r>
    </w:p>
    <w:p w14:paraId="4336791F">
      <w:pPr>
        <w:pStyle w:val="23"/>
        <w:tabs>
          <w:tab w:val="left" w:pos="-426"/>
          <w:tab w:val="left" w:pos="284"/>
        </w:tabs>
        <w:ind w:left="0"/>
        <w:jc w:val="both"/>
        <w:rPr>
          <w:rFonts w:ascii="Palatino Linotype" w:hAnsi="Palatino Linotype"/>
          <w:sz w:val="20"/>
          <w:szCs w:val="20"/>
        </w:rPr>
      </w:pPr>
    </w:p>
    <w:p w14:paraId="1BD16BDC">
      <w:pPr>
        <w:pStyle w:val="23"/>
        <w:numPr>
          <w:ilvl w:val="0"/>
          <w:numId w:val="23"/>
        </w:numPr>
        <w:tabs>
          <w:tab w:val="left" w:pos="-426"/>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sz w:val="20"/>
          <w:szCs w:val="20"/>
        </w:rPr>
        <w:t>Ak súťažné návrhy viacerých navrhovateľov budú ohodnotené totožným počtom bodov, medzi ktorými bude aj akcionár VVS, a. s., ktorému prináleží predkupné právo na akcie VVS, a.  s. za najvhodnejší návrh sa bude považovať súťažný návrh akcionára VVS, a. s. Ak súťažné návrhy viacerých navrhovateľov budú ohodnotené totožným počtom bodov, medzi ktorými budú viacerí akcionári VVS, a. s., ktorým prináleží predkupné právo na akcie VVS, a. s., za najvhodnejší návrh sa bude považovať súťažný návrh akcionára VVS, a. s., ktorý vyhlasovateľovi súťaže najlepšie vyhovuje.</w:t>
      </w:r>
    </w:p>
    <w:p w14:paraId="4C23A958">
      <w:pPr>
        <w:pStyle w:val="23"/>
        <w:tabs>
          <w:tab w:val="left" w:pos="-426"/>
          <w:tab w:val="left" w:pos="284"/>
        </w:tabs>
        <w:ind w:left="0"/>
        <w:contextualSpacing w:val="0"/>
        <w:jc w:val="both"/>
        <w:rPr>
          <w:rFonts w:ascii="Palatino Linotype" w:hAnsi="Palatino Linotype"/>
          <w:sz w:val="20"/>
          <w:szCs w:val="20"/>
        </w:rPr>
      </w:pPr>
    </w:p>
    <w:p w14:paraId="0F246751">
      <w:pPr>
        <w:pStyle w:val="23"/>
        <w:numPr>
          <w:ilvl w:val="0"/>
          <w:numId w:val="23"/>
        </w:numPr>
        <w:tabs>
          <w:tab w:val="left" w:pos="-426"/>
          <w:tab w:val="left" w:pos="284"/>
        </w:tabs>
        <w:spacing w:after="0" w:line="240" w:lineRule="auto"/>
        <w:ind w:left="0" w:firstLine="0"/>
        <w:contextualSpacing w:val="0"/>
        <w:jc w:val="both"/>
        <w:rPr>
          <w:rFonts w:ascii="Palatino Linotype" w:hAnsi="Palatino Linotype"/>
          <w:sz w:val="20"/>
          <w:szCs w:val="20"/>
        </w:rPr>
      </w:pPr>
      <w:r>
        <w:rPr>
          <w:rFonts w:ascii="Palatino Linotype" w:hAnsi="Palatino Linotype"/>
          <w:sz w:val="20"/>
          <w:szCs w:val="20"/>
        </w:rPr>
        <w:t>Ak súťažná komisia vyhodnotí ako najvhodnejší súťažný návrh predložený navrhovateľom, ktorý nie je akcionárom VVS, a. s., zmluva o prevode akcií medzi vyhlasovateľom súťaže a navrhovateľom zaniká v celom rozsahu s povinnosťou zmluvných strán vrátiť si všetko, čo si podľa zmluvy plnili, ak akcionár VVS, a. s., ktorý súčasne predložil súťažný návrh, si riadne a včas uplatní predkupné právo podľa stanov VVS, a. s. Uvedená skutočnosť musí byť obligatórne obsiahnutá v návrhu zmluvy o prevode akcií, ktorú predloží navrhovateľ, ktorý nie je akcionárom VVS, a. s. v čase predkladania súťažného návrhu.</w:t>
      </w:r>
    </w:p>
    <w:p w14:paraId="029C59CF">
      <w:pPr>
        <w:pStyle w:val="11"/>
        <w:tabs>
          <w:tab w:val="center" w:pos="0"/>
          <w:tab w:val="left" w:pos="284"/>
          <w:tab w:val="left" w:pos="709"/>
        </w:tabs>
        <w:spacing w:after="0"/>
        <w:jc w:val="both"/>
        <w:rPr>
          <w:rFonts w:ascii="Palatino Linotype" w:hAnsi="Palatino Linotype"/>
          <w:sz w:val="20"/>
          <w:szCs w:val="20"/>
          <w:lang w:val="sk-SK"/>
        </w:rPr>
      </w:pPr>
    </w:p>
    <w:p w14:paraId="432E0356">
      <w:pPr>
        <w:pStyle w:val="11"/>
        <w:numPr>
          <w:ilvl w:val="0"/>
          <w:numId w:val="24"/>
        </w:numPr>
        <w:tabs>
          <w:tab w:val="center" w:pos="0"/>
          <w:tab w:val="left" w:pos="709"/>
        </w:tabs>
        <w:spacing w:after="0"/>
        <w:ind w:left="284" w:hanging="284"/>
        <w:jc w:val="both"/>
        <w:rPr>
          <w:rFonts w:ascii="Palatino Linotype" w:hAnsi="Palatino Linotype"/>
          <w:sz w:val="20"/>
          <w:szCs w:val="20"/>
          <w:lang w:val="sk-SK"/>
        </w:rPr>
      </w:pPr>
      <w:r>
        <w:rPr>
          <w:rFonts w:ascii="Palatino Linotype" w:hAnsi="Palatino Linotype"/>
          <w:b/>
          <w:bCs/>
          <w:sz w:val="20"/>
          <w:szCs w:val="20"/>
          <w:lang w:val="sk-SK"/>
        </w:rPr>
        <w:t>Definície použitých pojmov</w:t>
      </w:r>
      <w:r>
        <w:rPr>
          <w:rFonts w:ascii="Palatino Linotype" w:hAnsi="Palatino Linotype"/>
          <w:sz w:val="20"/>
          <w:szCs w:val="20"/>
          <w:lang w:val="sk-SK"/>
        </w:rPr>
        <w:t>:</w:t>
      </w:r>
    </w:p>
    <w:p w14:paraId="5742C95E">
      <w:pPr>
        <w:pStyle w:val="11"/>
        <w:tabs>
          <w:tab w:val="left" w:pos="709"/>
        </w:tabs>
        <w:spacing w:after="0"/>
        <w:jc w:val="both"/>
        <w:rPr>
          <w:rFonts w:ascii="Palatino Linotype" w:hAnsi="Palatino Linotype"/>
          <w:sz w:val="20"/>
          <w:szCs w:val="20"/>
          <w:lang w:val="sk-SK"/>
        </w:rPr>
      </w:pPr>
    </w:p>
    <w:p w14:paraId="383404CC">
      <w:pPr>
        <w:pStyle w:val="11"/>
        <w:tabs>
          <w:tab w:val="left" w:pos="709"/>
        </w:tabs>
        <w:spacing w:after="0"/>
        <w:jc w:val="both"/>
        <w:rPr>
          <w:rFonts w:ascii="Palatino Linotype" w:hAnsi="Palatino Linotype"/>
          <w:sz w:val="20"/>
          <w:szCs w:val="20"/>
          <w:lang w:val="sk-SK"/>
        </w:rPr>
      </w:pPr>
      <w:r>
        <w:rPr>
          <w:rFonts w:ascii="Palatino Linotype" w:hAnsi="Palatino Linotype"/>
          <w:b/>
          <w:bCs/>
          <w:sz w:val="20"/>
          <w:szCs w:val="20"/>
          <w:lang w:val="sk-SK"/>
        </w:rPr>
        <w:t>Hromadná akcia série B</w:t>
      </w:r>
      <w:r>
        <w:rPr>
          <w:rFonts w:ascii="Palatino Linotype" w:hAnsi="Palatino Linotype"/>
          <w:sz w:val="20"/>
          <w:szCs w:val="20"/>
          <w:lang w:val="sk-SK"/>
        </w:rPr>
        <w:t xml:space="preserve"> – Vyhlasovateľ súťaže požiada predstavenstvo spoločnosti o vydanie jedného kusu hromadnej akcie v listinnej podobe znejúcej na meno, ktorá nahradí 3673 kusov jednotlivých kmeňových listinných akcií, znejúcich na meno, s menovitou hodnotou jednej akcie 33,- € </w:t>
      </w:r>
      <w:r>
        <w:rPr>
          <w:rFonts w:ascii="Palatino Linotype" w:hAnsi="Palatino Linotype"/>
          <w:i/>
          <w:iCs/>
          <w:sz w:val="20"/>
          <w:szCs w:val="20"/>
          <w:lang w:val="sk-SK"/>
        </w:rPr>
        <w:t>(slovom tridsaťtri eur)</w:t>
      </w:r>
      <w:r>
        <w:rPr>
          <w:rFonts w:ascii="Palatino Linotype" w:hAnsi="Palatino Linotype"/>
          <w:sz w:val="20"/>
          <w:szCs w:val="20"/>
          <w:lang w:val="sk-SK"/>
        </w:rPr>
        <w:t>, ktoré spolu s jednou kmeňovou akciou nahradia pôvodnú hromadnú akciu. Hromadná akcia série B podľa predchádzajúcej vety nahradí časť pôvodnej hromadnej akcie. Hromadná akcia série B bude predmetom prevodu zmluvy o prevode akcií ako výsledku tejto OVS.</w:t>
      </w:r>
    </w:p>
    <w:p w14:paraId="3EA8E44B">
      <w:pPr>
        <w:pStyle w:val="11"/>
        <w:tabs>
          <w:tab w:val="left" w:pos="709"/>
        </w:tabs>
        <w:spacing w:after="0"/>
        <w:jc w:val="both"/>
        <w:rPr>
          <w:rFonts w:ascii="Palatino Linotype" w:hAnsi="Palatino Linotype"/>
          <w:b/>
          <w:bCs/>
          <w:sz w:val="20"/>
          <w:szCs w:val="20"/>
          <w:lang w:val="sk-SK"/>
        </w:rPr>
      </w:pPr>
    </w:p>
    <w:p w14:paraId="704AF772">
      <w:pPr>
        <w:pStyle w:val="11"/>
        <w:tabs>
          <w:tab w:val="left" w:pos="709"/>
        </w:tabs>
        <w:spacing w:after="0"/>
        <w:jc w:val="both"/>
        <w:rPr>
          <w:rFonts w:ascii="Palatino Linotype" w:hAnsi="Palatino Linotype"/>
          <w:sz w:val="20"/>
          <w:szCs w:val="20"/>
          <w:lang w:val="sk-SK"/>
        </w:rPr>
      </w:pPr>
      <w:r>
        <w:rPr>
          <w:rFonts w:ascii="Palatino Linotype" w:hAnsi="Palatino Linotype"/>
          <w:b/>
          <w:bCs/>
          <w:sz w:val="20"/>
          <w:szCs w:val="20"/>
          <w:lang w:val="sk-SK"/>
        </w:rPr>
        <w:t xml:space="preserve">Najvhodnejšia ponuka – </w:t>
      </w:r>
      <w:r>
        <w:rPr>
          <w:rFonts w:ascii="Palatino Linotype" w:hAnsi="Palatino Linotype"/>
          <w:sz w:val="20"/>
          <w:szCs w:val="20"/>
          <w:lang w:val="sk-SK"/>
        </w:rPr>
        <w:t xml:space="preserve">na účely týchto podmienok súťaže sa ustanovenia vzťahujúce sa na najvhodnejšiu ponuku týkajú analogicky aj ponuky, ktorá vyhlasovateľovi súťaže najlepšie vyhovuje podľa Oddielu H. bodu 4 podmienok súťaže. </w:t>
      </w:r>
    </w:p>
    <w:p w14:paraId="0703C754">
      <w:pPr>
        <w:pStyle w:val="11"/>
        <w:tabs>
          <w:tab w:val="left" w:pos="709"/>
        </w:tabs>
        <w:spacing w:after="0"/>
        <w:jc w:val="both"/>
        <w:rPr>
          <w:rFonts w:ascii="Palatino Linotype" w:hAnsi="Palatino Linotype"/>
          <w:sz w:val="20"/>
          <w:szCs w:val="20"/>
          <w:lang w:val="sk-SK"/>
        </w:rPr>
      </w:pPr>
    </w:p>
    <w:p w14:paraId="37029F2F">
      <w:pPr>
        <w:pStyle w:val="11"/>
        <w:tabs>
          <w:tab w:val="left" w:pos="709"/>
        </w:tabs>
        <w:spacing w:after="0"/>
        <w:jc w:val="both"/>
        <w:rPr>
          <w:rFonts w:ascii="Palatino Linotype" w:hAnsi="Palatino Linotype"/>
          <w:sz w:val="20"/>
          <w:szCs w:val="20"/>
          <w:lang w:val="sk-SK"/>
        </w:rPr>
      </w:pPr>
      <w:r>
        <w:rPr>
          <w:rFonts w:ascii="Palatino Linotype" w:hAnsi="Palatino Linotype"/>
          <w:b/>
          <w:bCs/>
          <w:sz w:val="20"/>
          <w:szCs w:val="20"/>
          <w:lang w:val="sk-SK"/>
        </w:rPr>
        <w:t xml:space="preserve">Navrhovateľ </w:t>
      </w:r>
      <w:r>
        <w:rPr>
          <w:rFonts w:ascii="Palatino Linotype" w:hAnsi="Palatino Linotype"/>
          <w:sz w:val="20"/>
          <w:szCs w:val="20"/>
          <w:lang w:val="sk-SK"/>
        </w:rPr>
        <w:t>– Osoba predkladajúca súťažný návrh. V texte podmienok súťaže je navrhovateľ označovaný aj ako účastník súťaže.</w:t>
      </w:r>
    </w:p>
    <w:p w14:paraId="7AA1945B">
      <w:pPr>
        <w:pStyle w:val="11"/>
        <w:tabs>
          <w:tab w:val="left" w:pos="709"/>
        </w:tabs>
        <w:spacing w:after="0"/>
        <w:jc w:val="both"/>
        <w:rPr>
          <w:rFonts w:ascii="Palatino Linotype" w:hAnsi="Palatino Linotype"/>
          <w:sz w:val="20"/>
          <w:szCs w:val="20"/>
          <w:lang w:val="sk-SK"/>
        </w:rPr>
      </w:pPr>
    </w:p>
    <w:p w14:paraId="23C54F70">
      <w:pPr>
        <w:pStyle w:val="11"/>
        <w:tabs>
          <w:tab w:val="left" w:pos="709"/>
        </w:tabs>
        <w:spacing w:after="0"/>
        <w:jc w:val="both"/>
        <w:rPr>
          <w:rFonts w:ascii="Palatino Linotype" w:hAnsi="Palatino Linotype"/>
          <w:sz w:val="20"/>
          <w:szCs w:val="20"/>
          <w:lang w:val="sk-SK"/>
        </w:rPr>
      </w:pPr>
      <w:r>
        <w:rPr>
          <w:rFonts w:ascii="Palatino Linotype" w:hAnsi="Palatino Linotype"/>
          <w:b/>
          <w:bCs/>
          <w:color w:val="000000"/>
          <w:sz w:val="20"/>
          <w:szCs w:val="20"/>
          <w:lang w:val="sk-SK"/>
        </w:rPr>
        <w:t>Neúspešný účastník súťaže</w:t>
      </w:r>
      <w:r>
        <w:rPr>
          <w:rFonts w:ascii="Palatino Linotype" w:hAnsi="Palatino Linotype"/>
          <w:b/>
          <w:bCs/>
          <w:sz w:val="20"/>
          <w:szCs w:val="20"/>
          <w:lang w:val="sk-SK"/>
        </w:rPr>
        <w:t xml:space="preserve"> </w:t>
      </w:r>
      <w:r>
        <w:rPr>
          <w:rFonts w:ascii="Palatino Linotype" w:hAnsi="Palatino Linotype"/>
          <w:sz w:val="20"/>
          <w:szCs w:val="20"/>
          <w:lang w:val="sk-SK"/>
        </w:rPr>
        <w:t>– Navrhovateľ, ktorého súťažný návrh nebol vyhodnotený ako najvhodnejší súťažnou komisiou.</w:t>
      </w:r>
    </w:p>
    <w:p w14:paraId="63853036">
      <w:pPr>
        <w:pStyle w:val="11"/>
        <w:tabs>
          <w:tab w:val="left" w:pos="709"/>
        </w:tabs>
        <w:spacing w:after="0"/>
        <w:jc w:val="both"/>
        <w:rPr>
          <w:rFonts w:ascii="Palatino Linotype" w:hAnsi="Palatino Linotype"/>
          <w:sz w:val="20"/>
          <w:szCs w:val="20"/>
          <w:lang w:val="sk-SK"/>
        </w:rPr>
      </w:pPr>
    </w:p>
    <w:p w14:paraId="07976E1F">
      <w:pPr>
        <w:pStyle w:val="11"/>
        <w:tabs>
          <w:tab w:val="left" w:pos="709"/>
        </w:tabs>
        <w:spacing w:after="0"/>
        <w:jc w:val="both"/>
        <w:rPr>
          <w:rFonts w:ascii="Palatino Linotype" w:hAnsi="Palatino Linotype"/>
          <w:sz w:val="20"/>
          <w:szCs w:val="20"/>
          <w:lang w:val="sk-SK"/>
        </w:rPr>
      </w:pPr>
      <w:r>
        <w:rPr>
          <w:rFonts w:ascii="Palatino Linotype" w:hAnsi="Palatino Linotype"/>
          <w:b/>
          <w:bCs/>
          <w:sz w:val="20"/>
          <w:szCs w:val="20"/>
          <w:lang w:val="sk-SK"/>
        </w:rPr>
        <w:t xml:space="preserve">Pôvodná hromadná akcia – </w:t>
      </w:r>
      <w:r>
        <w:rPr>
          <w:rFonts w:ascii="Palatino Linotype" w:hAnsi="Palatino Linotype"/>
          <w:sz w:val="20"/>
          <w:szCs w:val="20"/>
          <w:lang w:val="sk-SK"/>
        </w:rPr>
        <w:t xml:space="preserve">Vyhlasovateľ súťaže je výlučným vlastníkom 3674 kmeňových listinných akcií na meno, s menovitou hodnotou jednej jednotlivo určenej akcie 33,- € </w:t>
      </w:r>
      <w:r>
        <w:rPr>
          <w:rFonts w:ascii="Palatino Linotype" w:hAnsi="Palatino Linotype"/>
          <w:i/>
          <w:iCs/>
          <w:sz w:val="20"/>
          <w:szCs w:val="20"/>
          <w:lang w:val="sk-SK"/>
        </w:rPr>
        <w:t>(slovom tridsaťtri eur)</w:t>
      </w:r>
      <w:r>
        <w:rPr>
          <w:rFonts w:ascii="Palatino Linotype" w:hAnsi="Palatino Linotype"/>
          <w:sz w:val="20"/>
          <w:szCs w:val="20"/>
          <w:lang w:val="sk-SK"/>
        </w:rPr>
        <w:t>, ktoré nahrádza hromadná akcia s dátumom emisie 31.01.2022, s číselným označením hromadnej akcie H-000555, ktorých menovitá hodnota zodpovedá 0,05%-nému podielu  na základnom imaní obchodnej spoločnosti VVS, a. s.</w:t>
      </w:r>
    </w:p>
    <w:p w14:paraId="57686152">
      <w:pPr>
        <w:pStyle w:val="11"/>
        <w:tabs>
          <w:tab w:val="left" w:pos="709"/>
        </w:tabs>
        <w:spacing w:after="0"/>
        <w:jc w:val="both"/>
        <w:rPr>
          <w:rFonts w:ascii="Palatino Linotype" w:hAnsi="Palatino Linotype"/>
          <w:sz w:val="20"/>
          <w:szCs w:val="20"/>
          <w:lang w:val="sk-SK"/>
        </w:rPr>
      </w:pPr>
    </w:p>
    <w:p w14:paraId="5A6A5A42">
      <w:pPr>
        <w:pStyle w:val="11"/>
        <w:tabs>
          <w:tab w:val="left" w:pos="709"/>
        </w:tabs>
        <w:spacing w:after="0"/>
        <w:jc w:val="both"/>
        <w:rPr>
          <w:rFonts w:ascii="Palatino Linotype" w:hAnsi="Palatino Linotype"/>
          <w:sz w:val="20"/>
          <w:szCs w:val="20"/>
          <w:lang w:val="sk-SK"/>
        </w:rPr>
      </w:pPr>
      <w:r>
        <w:rPr>
          <w:rFonts w:ascii="Palatino Linotype" w:hAnsi="Palatino Linotype"/>
          <w:b/>
          <w:bCs/>
          <w:sz w:val="20"/>
          <w:szCs w:val="20"/>
          <w:lang w:val="sk-SK"/>
        </w:rPr>
        <w:t>Súťažný návrh</w:t>
      </w:r>
      <w:r>
        <w:rPr>
          <w:rFonts w:ascii="Palatino Linotype" w:hAnsi="Palatino Linotype"/>
          <w:sz w:val="20"/>
          <w:szCs w:val="20"/>
          <w:lang w:val="sk-SK"/>
        </w:rPr>
        <w:t xml:space="preserve"> - Návrh navrhovateľa podaný vo forme a obsahu vyžadovanom týmito podmienkami súťaže.</w:t>
      </w:r>
    </w:p>
    <w:p w14:paraId="3D157D27">
      <w:pPr>
        <w:pStyle w:val="11"/>
        <w:tabs>
          <w:tab w:val="left" w:pos="709"/>
        </w:tabs>
        <w:spacing w:after="0"/>
        <w:jc w:val="both"/>
        <w:rPr>
          <w:rFonts w:ascii="Palatino Linotype" w:hAnsi="Palatino Linotype"/>
          <w:sz w:val="20"/>
          <w:szCs w:val="20"/>
          <w:lang w:val="sk-SK"/>
        </w:rPr>
      </w:pPr>
    </w:p>
    <w:p w14:paraId="7C6F1F93">
      <w:pPr>
        <w:pStyle w:val="11"/>
        <w:tabs>
          <w:tab w:val="left" w:pos="709"/>
        </w:tabs>
        <w:spacing w:after="0"/>
        <w:jc w:val="both"/>
        <w:rPr>
          <w:rFonts w:ascii="Palatino Linotype" w:hAnsi="Palatino Linotype"/>
          <w:sz w:val="20"/>
          <w:szCs w:val="20"/>
          <w:lang w:val="sk-SK"/>
        </w:rPr>
      </w:pPr>
      <w:r>
        <w:rPr>
          <w:rFonts w:ascii="Palatino Linotype" w:hAnsi="Palatino Linotype"/>
          <w:b/>
          <w:bCs/>
          <w:sz w:val="20"/>
          <w:szCs w:val="20"/>
          <w:lang w:val="sk-SK"/>
        </w:rPr>
        <w:t>Vybraný účastník súťaže</w:t>
      </w:r>
      <w:r>
        <w:rPr>
          <w:rFonts w:ascii="Palatino Linotype" w:hAnsi="Palatino Linotype"/>
          <w:sz w:val="20"/>
          <w:szCs w:val="20"/>
          <w:lang w:val="sk-SK"/>
        </w:rPr>
        <w:t xml:space="preserve"> – Navrhovateľ, ktorého súťažný návrh bol vyhodnotený ako najvhodnejší súťažnou komisiou.</w:t>
      </w:r>
    </w:p>
    <w:p w14:paraId="4E1B4582">
      <w:pPr>
        <w:pStyle w:val="11"/>
        <w:tabs>
          <w:tab w:val="left" w:pos="709"/>
        </w:tabs>
        <w:spacing w:after="0"/>
        <w:jc w:val="both"/>
        <w:rPr>
          <w:rFonts w:ascii="Palatino Linotype" w:hAnsi="Palatino Linotype"/>
          <w:sz w:val="20"/>
          <w:szCs w:val="20"/>
          <w:lang w:val="sk-SK"/>
        </w:rPr>
      </w:pPr>
    </w:p>
    <w:p w14:paraId="074676DA">
      <w:pPr>
        <w:pStyle w:val="11"/>
        <w:tabs>
          <w:tab w:val="left" w:pos="709"/>
        </w:tabs>
        <w:spacing w:after="0"/>
        <w:jc w:val="both"/>
        <w:rPr>
          <w:rFonts w:ascii="Palatino Linotype" w:hAnsi="Palatino Linotype"/>
          <w:sz w:val="20"/>
          <w:szCs w:val="20"/>
          <w:lang w:val="sk-SK"/>
        </w:rPr>
      </w:pPr>
      <w:r>
        <w:rPr>
          <w:rFonts w:ascii="Palatino Linotype" w:hAnsi="Palatino Linotype"/>
          <w:b/>
          <w:bCs/>
          <w:sz w:val="20"/>
          <w:szCs w:val="20"/>
          <w:lang w:val="sk-SK"/>
        </w:rPr>
        <w:t>Vyhlasovateľ súťaže</w:t>
      </w:r>
      <w:r>
        <w:rPr>
          <w:rFonts w:ascii="Palatino Linotype" w:hAnsi="Palatino Linotype"/>
          <w:sz w:val="20"/>
          <w:szCs w:val="20"/>
          <w:lang w:val="sk-SK"/>
        </w:rPr>
        <w:t xml:space="preserve"> – Osoba, ktorá vyhlásila súťaž v rozsahu a spôsobom podľa podmienok súťaže.</w:t>
      </w:r>
    </w:p>
    <w:p w14:paraId="354A4EE1">
      <w:pPr>
        <w:pStyle w:val="11"/>
        <w:tabs>
          <w:tab w:val="left" w:pos="709"/>
        </w:tabs>
        <w:spacing w:after="0"/>
        <w:jc w:val="both"/>
        <w:rPr>
          <w:rFonts w:ascii="Palatino Linotype" w:hAnsi="Palatino Linotype"/>
          <w:sz w:val="20"/>
          <w:szCs w:val="20"/>
          <w:lang w:val="sk-SK"/>
        </w:rPr>
      </w:pPr>
    </w:p>
    <w:p w14:paraId="7EC0E4BA">
      <w:pPr>
        <w:pStyle w:val="11"/>
        <w:tabs>
          <w:tab w:val="left" w:pos="709"/>
        </w:tabs>
        <w:spacing w:after="0"/>
        <w:jc w:val="both"/>
        <w:rPr>
          <w:rFonts w:ascii="Palatino Linotype" w:hAnsi="Palatino Linotype"/>
          <w:sz w:val="20"/>
          <w:szCs w:val="20"/>
          <w:lang w:val="sk-SK"/>
        </w:rPr>
      </w:pPr>
      <w:r>
        <w:rPr>
          <w:rFonts w:ascii="Palatino Linotype" w:hAnsi="Palatino Linotype"/>
          <w:b/>
          <w:bCs/>
          <w:sz w:val="20"/>
          <w:szCs w:val="20"/>
          <w:lang w:val="sk-SK"/>
        </w:rPr>
        <w:t>Záujemca o účasť v súťaži</w:t>
      </w:r>
      <w:r>
        <w:rPr>
          <w:rFonts w:ascii="Palatino Linotype" w:hAnsi="Palatino Linotype"/>
          <w:sz w:val="20"/>
          <w:szCs w:val="20"/>
          <w:lang w:val="sk-SK"/>
        </w:rPr>
        <w:t xml:space="preserve"> – Osoba, ktorá má záujem o účasť v súťaži a zatiaľ nepredložila súťažný návrh.</w:t>
      </w:r>
    </w:p>
    <w:p w14:paraId="4913AF5A">
      <w:pPr>
        <w:pStyle w:val="11"/>
        <w:tabs>
          <w:tab w:val="left" w:pos="709"/>
        </w:tabs>
        <w:spacing w:after="0"/>
        <w:jc w:val="both"/>
        <w:rPr>
          <w:rFonts w:ascii="Palatino Linotype" w:hAnsi="Palatino Linotype"/>
          <w:sz w:val="20"/>
          <w:szCs w:val="20"/>
          <w:lang w:val="sk-SK"/>
        </w:rPr>
      </w:pPr>
    </w:p>
    <w:p w14:paraId="133AEC3C">
      <w:pPr>
        <w:pStyle w:val="11"/>
        <w:tabs>
          <w:tab w:val="left" w:pos="709"/>
        </w:tabs>
        <w:spacing w:after="0"/>
        <w:jc w:val="both"/>
        <w:rPr>
          <w:rFonts w:ascii="Palatino Linotype" w:hAnsi="Palatino Linotype"/>
          <w:sz w:val="20"/>
          <w:szCs w:val="20"/>
          <w:lang w:val="sk-SK"/>
        </w:rPr>
      </w:pPr>
      <w:r>
        <w:rPr>
          <w:rFonts w:ascii="Palatino Linotype" w:hAnsi="Palatino Linotype"/>
          <w:b/>
          <w:bCs/>
          <w:sz w:val="20"/>
          <w:szCs w:val="20"/>
          <w:lang w:val="sk-SK"/>
        </w:rPr>
        <w:t>Zásady ostatného obsahu zamýšľanej zmluvy</w:t>
      </w:r>
      <w:r>
        <w:rPr>
          <w:rFonts w:ascii="Palatino Linotype" w:hAnsi="Palatino Linotype"/>
          <w:sz w:val="20"/>
          <w:szCs w:val="20"/>
          <w:lang w:val="sk-SK"/>
        </w:rPr>
        <w:t xml:space="preserve"> – Všetky podmienky súťaže, ktoré zasahujú buď priamo, alebo nepriamo do právneho vzťahu založeného zmluvou o prevode akcií, na ktorých vyhlasovateľ súťaže trvá. Tieto podmienky sú okrem Oddielu B. obsiahnuté v celom texte podmienok súťaže.</w:t>
      </w:r>
    </w:p>
    <w:p w14:paraId="568579C9">
      <w:pPr>
        <w:pStyle w:val="11"/>
        <w:tabs>
          <w:tab w:val="left" w:pos="709"/>
        </w:tabs>
        <w:spacing w:after="0"/>
        <w:jc w:val="both"/>
        <w:rPr>
          <w:rFonts w:ascii="Palatino Linotype" w:hAnsi="Palatino Linotype"/>
          <w:sz w:val="20"/>
          <w:szCs w:val="20"/>
          <w:lang w:val="sk-SK"/>
        </w:rPr>
      </w:pPr>
    </w:p>
    <w:p w14:paraId="599DF281">
      <w:pPr>
        <w:pStyle w:val="11"/>
        <w:tabs>
          <w:tab w:val="left" w:pos="284"/>
          <w:tab w:val="left" w:pos="851"/>
        </w:tabs>
        <w:spacing w:after="0"/>
        <w:ind w:left="-567" w:firstLine="283"/>
        <w:jc w:val="both"/>
        <w:rPr>
          <w:rFonts w:ascii="Palatino Linotype" w:hAnsi="Palatino Linotype"/>
          <w:sz w:val="20"/>
          <w:szCs w:val="20"/>
          <w:lang w:val="sk-SK"/>
        </w:rPr>
      </w:pPr>
    </w:p>
    <w:p w14:paraId="1B6D1A94">
      <w:pPr>
        <w:pStyle w:val="11"/>
        <w:tabs>
          <w:tab w:val="left" w:pos="284"/>
          <w:tab w:val="left" w:pos="851"/>
        </w:tabs>
        <w:spacing w:after="0"/>
        <w:ind w:left="-567" w:firstLine="283"/>
        <w:jc w:val="both"/>
        <w:rPr>
          <w:rFonts w:ascii="Palatino Linotype" w:hAnsi="Palatino Linotype"/>
          <w:sz w:val="20"/>
          <w:szCs w:val="20"/>
          <w:lang w:val="sk-SK"/>
        </w:rPr>
      </w:pPr>
      <w:r>
        <w:rPr>
          <w:rFonts w:ascii="Palatino Linotype" w:hAnsi="Palatino Linotype"/>
          <w:sz w:val="20"/>
          <w:szCs w:val="20"/>
          <w:lang w:val="sk-SK"/>
        </w:rPr>
        <w:t xml:space="preserve">     Vypracoval: Alžbeta Matyásová – starostka obce      </w:t>
      </w:r>
    </w:p>
    <w:p w14:paraId="4121BDB6">
      <w:pPr>
        <w:spacing w:before="100" w:beforeAutospacing="1" w:after="0" w:line="240" w:lineRule="auto"/>
      </w:pPr>
    </w:p>
    <w:sectPr>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ylfaen">
    <w:panose1 w:val="010A0502050306030303"/>
    <w:charset w:val="00"/>
    <w:family w:val="roman"/>
    <w:pitch w:val="default"/>
    <w:sig w:usb0="04000687" w:usb1="00000000" w:usb2="00000000" w:usb3="00000000" w:csb0="2000009F" w:csb1="00000000"/>
  </w:font>
  <w:font w:name="Wingdings">
    <w:panose1 w:val="05000000000000000000"/>
    <w:charset w:val="00"/>
    <w:family w:val="decorative"/>
    <w:pitch w:val="default"/>
    <w:sig w:usb0="00000000" w:usb1="00000000" w:usb2="00000000" w:usb3="00000000" w:csb0="80000000" w:csb1="00000000"/>
  </w:font>
  <w:font w:name="Symbol">
    <w:panose1 w:val="05050102010706020507"/>
    <w:charset w:val="02"/>
    <w:family w:val="decorative"/>
    <w:pitch w:val="default"/>
    <w:sig w:usb0="00000000" w:usb1="00000000" w:usb2="00000000" w:usb3="00000000" w:csb0="80000000" w:csb1="00000000"/>
  </w:font>
  <w:font w:name="Segoe UI">
    <w:panose1 w:val="020B0502040204020203"/>
    <w:charset w:val="EE"/>
    <w:family w:val="swiss"/>
    <w:pitch w:val="default"/>
    <w:sig w:usb0="E4002EFF" w:usb1="C000E47F" w:usb2="00000009" w:usb3="00000000" w:csb0="200001FF" w:csb1="00000000"/>
  </w:font>
  <w:font w:name="Arial Black">
    <w:panose1 w:val="020B0A04020102020204"/>
    <w:charset w:val="00"/>
    <w:family w:val="swiss"/>
    <w:pitch w:val="default"/>
    <w:sig w:usb0="A00002AF" w:usb1="400078FB" w:usb2="00000000" w:usb3="00000000" w:csb0="6000009F" w:csb1="DFD70000"/>
  </w:font>
  <w:font w:name="Palatino Linotype">
    <w:panose1 w:val="02040502050505030304"/>
    <w:charset w:val="00"/>
    <w:family w:val="roman"/>
    <w:pitch w:val="default"/>
    <w:sig w:usb0="E0000287" w:usb1="40000013" w:usb2="00000000" w:usb3="00000000" w:csb0="2000019F" w:csb1="00000000"/>
  </w:font>
  <w:font w:name="Open Sans">
    <w:altName w:val="Times New Roman"/>
    <w:panose1 w:val="020B0606030504020204"/>
    <w:charset w:val="00"/>
    <w:family w:val="swiss"/>
    <w:pitch w:val="default"/>
    <w:sig w:usb0="00000000" w:usb1="00000000" w:usb2="00000028"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AEDE0">
    <w:pPr>
      <w:pStyle w:val="15"/>
      <w:jc w:val="right"/>
      <w:rPr>
        <w:rFonts w:ascii="Palatino Linotype" w:hAnsi="Palatino Linotype"/>
        <w:sz w:val="20"/>
        <w:szCs w:val="20"/>
      </w:rPr>
    </w:pPr>
  </w:p>
  <w:p w14:paraId="6FD48C4E">
    <w:pPr>
      <w:pStyle w:val="15"/>
      <w:jc w:val="both"/>
      <w:rPr>
        <w:rFonts w:ascii="Palatino Linotype" w:hAnsi="Palatino Linotype"/>
        <w:sz w:val="20"/>
        <w:szCs w:val="20"/>
        <w:lang w:val="sk-SK"/>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2C010B"/>
    <w:multiLevelType w:val="multilevel"/>
    <w:tmpl w:val="062C010B"/>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0EB8611B"/>
    <w:multiLevelType w:val="multilevel"/>
    <w:tmpl w:val="0EB8611B"/>
    <w:lvl w:ilvl="0" w:tentative="0">
      <w:start w:val="1"/>
      <w:numFmt w:val="lowerLetter"/>
      <w:lvlText w:val="%1)"/>
      <w:lvlJc w:val="left"/>
      <w:pPr>
        <w:ind w:left="1004" w:hanging="360"/>
      </w:pPr>
      <w:rPr>
        <w:b w:val="0"/>
        <w:bCs w:val="0"/>
      </w:r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2">
    <w:nsid w:val="0FD74C77"/>
    <w:multiLevelType w:val="multilevel"/>
    <w:tmpl w:val="0FD74C77"/>
    <w:lvl w:ilvl="0" w:tentative="0">
      <w:start w:val="1"/>
      <w:numFmt w:val="lowerLetter"/>
      <w:lvlText w:val="%1)"/>
      <w:lvlJc w:val="left"/>
      <w:pPr>
        <w:ind w:left="774" w:hanging="360"/>
      </w:pPr>
      <w:rPr>
        <w:b w:val="0"/>
        <w:bCs w:val="0"/>
      </w:rPr>
    </w:lvl>
    <w:lvl w:ilvl="1" w:tentative="0">
      <w:start w:val="1"/>
      <w:numFmt w:val="lowerLetter"/>
      <w:lvlText w:val="%2."/>
      <w:lvlJc w:val="left"/>
      <w:pPr>
        <w:ind w:left="1494" w:hanging="360"/>
      </w:pPr>
    </w:lvl>
    <w:lvl w:ilvl="2" w:tentative="0">
      <w:start w:val="1"/>
      <w:numFmt w:val="lowerRoman"/>
      <w:lvlText w:val="%3."/>
      <w:lvlJc w:val="right"/>
      <w:pPr>
        <w:ind w:left="2214" w:hanging="180"/>
      </w:pPr>
    </w:lvl>
    <w:lvl w:ilvl="3" w:tentative="0">
      <w:start w:val="1"/>
      <w:numFmt w:val="decimal"/>
      <w:lvlText w:val="%4."/>
      <w:lvlJc w:val="left"/>
      <w:pPr>
        <w:ind w:left="2934" w:hanging="360"/>
      </w:pPr>
    </w:lvl>
    <w:lvl w:ilvl="4" w:tentative="0">
      <w:start w:val="1"/>
      <w:numFmt w:val="lowerLetter"/>
      <w:lvlText w:val="%5."/>
      <w:lvlJc w:val="left"/>
      <w:pPr>
        <w:ind w:left="3654" w:hanging="360"/>
      </w:pPr>
    </w:lvl>
    <w:lvl w:ilvl="5" w:tentative="0">
      <w:start w:val="1"/>
      <w:numFmt w:val="lowerRoman"/>
      <w:lvlText w:val="%6."/>
      <w:lvlJc w:val="right"/>
      <w:pPr>
        <w:ind w:left="4374" w:hanging="180"/>
      </w:pPr>
    </w:lvl>
    <w:lvl w:ilvl="6" w:tentative="0">
      <w:start w:val="1"/>
      <w:numFmt w:val="decimal"/>
      <w:lvlText w:val="%7."/>
      <w:lvlJc w:val="left"/>
      <w:pPr>
        <w:ind w:left="5094" w:hanging="360"/>
      </w:pPr>
    </w:lvl>
    <w:lvl w:ilvl="7" w:tentative="0">
      <w:start w:val="1"/>
      <w:numFmt w:val="lowerLetter"/>
      <w:lvlText w:val="%8."/>
      <w:lvlJc w:val="left"/>
      <w:pPr>
        <w:ind w:left="5814" w:hanging="360"/>
      </w:pPr>
    </w:lvl>
    <w:lvl w:ilvl="8" w:tentative="0">
      <w:start w:val="1"/>
      <w:numFmt w:val="lowerRoman"/>
      <w:lvlText w:val="%9."/>
      <w:lvlJc w:val="right"/>
      <w:pPr>
        <w:ind w:left="6534" w:hanging="180"/>
      </w:pPr>
    </w:lvl>
  </w:abstractNum>
  <w:abstractNum w:abstractNumId="3">
    <w:nsid w:val="1ACA6C10"/>
    <w:multiLevelType w:val="multilevel"/>
    <w:tmpl w:val="1ACA6C1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271178F6"/>
    <w:multiLevelType w:val="multilevel"/>
    <w:tmpl w:val="271178F6"/>
    <w:lvl w:ilvl="0" w:tentative="0">
      <w:start w:val="1"/>
      <w:numFmt w:val="lowerLetter"/>
      <w:lvlText w:val="%1)"/>
      <w:lvlJc w:val="left"/>
      <w:pPr>
        <w:ind w:left="720" w:hanging="360"/>
      </w:pPr>
    </w:lvl>
    <w:lvl w:ilvl="1" w:tentative="0">
      <w:start w:val="1"/>
      <w:numFmt w:val="lowerLetter"/>
      <w:lvlText w:val="%2)"/>
      <w:lvlJc w:val="left"/>
      <w:pPr>
        <w:ind w:left="1440" w:hanging="360"/>
      </w:pPr>
      <w:rPr>
        <w:b w:val="0"/>
        <w:bCs w:val="0"/>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2AB35A96"/>
    <w:multiLevelType w:val="multilevel"/>
    <w:tmpl w:val="2AB35A96"/>
    <w:lvl w:ilvl="0" w:tentative="0">
      <w:start w:val="1"/>
      <w:numFmt w:val="bullet"/>
      <w:pStyle w:val="43"/>
      <w:lvlText w:val="-"/>
      <w:lvlJc w:val="left"/>
      <w:pPr>
        <w:ind w:left="1712" w:hanging="360"/>
      </w:pPr>
      <w:rPr>
        <w:rFonts w:hint="default" w:ascii="Times New Roman" w:hAnsi="Times New Roman" w:cs="Times New Roman"/>
        <w:b/>
        <w:i w:val="0"/>
      </w:rPr>
    </w:lvl>
    <w:lvl w:ilvl="1" w:tentative="0">
      <w:start w:val="1"/>
      <w:numFmt w:val="bullet"/>
      <w:lvlText w:val="o"/>
      <w:lvlJc w:val="left"/>
      <w:pPr>
        <w:ind w:left="2432" w:hanging="360"/>
      </w:pPr>
      <w:rPr>
        <w:rFonts w:hint="default" w:ascii="Courier New" w:hAnsi="Courier New" w:cs="Courier New"/>
      </w:rPr>
    </w:lvl>
    <w:lvl w:ilvl="2" w:tentative="0">
      <w:start w:val="1"/>
      <w:numFmt w:val="bullet"/>
      <w:lvlText w:val=""/>
      <w:lvlJc w:val="left"/>
      <w:pPr>
        <w:ind w:left="3152" w:hanging="360"/>
      </w:pPr>
      <w:rPr>
        <w:rFonts w:hint="default" w:ascii="Wingdings" w:hAnsi="Wingdings"/>
      </w:rPr>
    </w:lvl>
    <w:lvl w:ilvl="3" w:tentative="0">
      <w:start w:val="1"/>
      <w:numFmt w:val="bullet"/>
      <w:lvlText w:val=""/>
      <w:lvlJc w:val="left"/>
      <w:pPr>
        <w:ind w:left="3872" w:hanging="360"/>
      </w:pPr>
      <w:rPr>
        <w:rFonts w:hint="default" w:ascii="Symbol" w:hAnsi="Symbol"/>
      </w:rPr>
    </w:lvl>
    <w:lvl w:ilvl="4" w:tentative="0">
      <w:start w:val="1"/>
      <w:numFmt w:val="bullet"/>
      <w:lvlText w:val="o"/>
      <w:lvlJc w:val="left"/>
      <w:pPr>
        <w:ind w:left="4592" w:hanging="360"/>
      </w:pPr>
      <w:rPr>
        <w:rFonts w:hint="default" w:ascii="Courier New" w:hAnsi="Courier New" w:cs="Courier New"/>
      </w:rPr>
    </w:lvl>
    <w:lvl w:ilvl="5" w:tentative="0">
      <w:start w:val="1"/>
      <w:numFmt w:val="bullet"/>
      <w:lvlText w:val=""/>
      <w:lvlJc w:val="left"/>
      <w:pPr>
        <w:ind w:left="5312" w:hanging="360"/>
      </w:pPr>
      <w:rPr>
        <w:rFonts w:hint="default" w:ascii="Wingdings" w:hAnsi="Wingdings"/>
      </w:rPr>
    </w:lvl>
    <w:lvl w:ilvl="6" w:tentative="0">
      <w:start w:val="1"/>
      <w:numFmt w:val="bullet"/>
      <w:lvlText w:val=""/>
      <w:lvlJc w:val="left"/>
      <w:pPr>
        <w:ind w:left="6032" w:hanging="360"/>
      </w:pPr>
      <w:rPr>
        <w:rFonts w:hint="default" w:ascii="Symbol" w:hAnsi="Symbol"/>
      </w:rPr>
    </w:lvl>
    <w:lvl w:ilvl="7" w:tentative="0">
      <w:start w:val="1"/>
      <w:numFmt w:val="bullet"/>
      <w:lvlText w:val="o"/>
      <w:lvlJc w:val="left"/>
      <w:pPr>
        <w:ind w:left="6752" w:hanging="360"/>
      </w:pPr>
      <w:rPr>
        <w:rFonts w:hint="default" w:ascii="Courier New" w:hAnsi="Courier New" w:cs="Courier New"/>
      </w:rPr>
    </w:lvl>
    <w:lvl w:ilvl="8" w:tentative="0">
      <w:start w:val="1"/>
      <w:numFmt w:val="bullet"/>
      <w:lvlText w:val=""/>
      <w:lvlJc w:val="left"/>
      <w:pPr>
        <w:ind w:left="7472" w:hanging="360"/>
      </w:pPr>
      <w:rPr>
        <w:rFonts w:hint="default" w:ascii="Wingdings" w:hAnsi="Wingdings"/>
      </w:rPr>
    </w:lvl>
  </w:abstractNum>
  <w:abstractNum w:abstractNumId="6">
    <w:nsid w:val="33962FC4"/>
    <w:multiLevelType w:val="multilevel"/>
    <w:tmpl w:val="33962FC4"/>
    <w:lvl w:ilvl="0" w:tentative="0">
      <w:start w:val="1"/>
      <w:numFmt w:val="decimal"/>
      <w:lvlText w:val="%1."/>
      <w:lvlJc w:val="left"/>
      <w:pPr>
        <w:ind w:left="873" w:hanging="360"/>
      </w:pPr>
      <w:rPr>
        <w:b w:val="0"/>
        <w:bCs w:val="0"/>
      </w:rPr>
    </w:lvl>
    <w:lvl w:ilvl="1" w:tentative="0">
      <w:start w:val="1"/>
      <w:numFmt w:val="lowerLetter"/>
      <w:lvlText w:val="%2."/>
      <w:lvlJc w:val="left"/>
      <w:pPr>
        <w:ind w:left="1593" w:hanging="360"/>
      </w:pPr>
    </w:lvl>
    <w:lvl w:ilvl="2" w:tentative="0">
      <w:start w:val="1"/>
      <w:numFmt w:val="lowerRoman"/>
      <w:lvlText w:val="%3."/>
      <w:lvlJc w:val="right"/>
      <w:pPr>
        <w:ind w:left="2313" w:hanging="180"/>
      </w:pPr>
    </w:lvl>
    <w:lvl w:ilvl="3" w:tentative="0">
      <w:start w:val="1"/>
      <w:numFmt w:val="decimal"/>
      <w:lvlText w:val="%4."/>
      <w:lvlJc w:val="left"/>
      <w:pPr>
        <w:ind w:left="3033" w:hanging="360"/>
      </w:pPr>
    </w:lvl>
    <w:lvl w:ilvl="4" w:tentative="0">
      <w:start w:val="1"/>
      <w:numFmt w:val="lowerLetter"/>
      <w:lvlText w:val="%5."/>
      <w:lvlJc w:val="left"/>
      <w:pPr>
        <w:ind w:left="3753" w:hanging="360"/>
      </w:pPr>
    </w:lvl>
    <w:lvl w:ilvl="5" w:tentative="0">
      <w:start w:val="1"/>
      <w:numFmt w:val="lowerRoman"/>
      <w:lvlText w:val="%6."/>
      <w:lvlJc w:val="right"/>
      <w:pPr>
        <w:ind w:left="4473" w:hanging="180"/>
      </w:pPr>
    </w:lvl>
    <w:lvl w:ilvl="6" w:tentative="0">
      <w:start w:val="1"/>
      <w:numFmt w:val="decimal"/>
      <w:lvlText w:val="%7."/>
      <w:lvlJc w:val="left"/>
      <w:pPr>
        <w:ind w:left="5193" w:hanging="360"/>
      </w:pPr>
    </w:lvl>
    <w:lvl w:ilvl="7" w:tentative="0">
      <w:start w:val="1"/>
      <w:numFmt w:val="lowerLetter"/>
      <w:lvlText w:val="%8."/>
      <w:lvlJc w:val="left"/>
      <w:pPr>
        <w:ind w:left="5913" w:hanging="360"/>
      </w:pPr>
    </w:lvl>
    <w:lvl w:ilvl="8" w:tentative="0">
      <w:start w:val="1"/>
      <w:numFmt w:val="lowerRoman"/>
      <w:lvlText w:val="%9."/>
      <w:lvlJc w:val="right"/>
      <w:pPr>
        <w:ind w:left="6633" w:hanging="180"/>
      </w:pPr>
    </w:lvl>
  </w:abstractNum>
  <w:abstractNum w:abstractNumId="7">
    <w:nsid w:val="33A04B24"/>
    <w:multiLevelType w:val="multilevel"/>
    <w:tmpl w:val="33A04B24"/>
    <w:lvl w:ilvl="0" w:tentative="0">
      <w:start w:val="1"/>
      <w:numFmt w:val="lowerLetter"/>
      <w:lvlText w:val="%1)"/>
      <w:lvlJc w:val="left"/>
      <w:pPr>
        <w:ind w:left="720" w:hanging="360"/>
      </w:pPr>
      <w:rPr>
        <w:b w:val="0"/>
        <w:bCs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38025717"/>
    <w:multiLevelType w:val="multilevel"/>
    <w:tmpl w:val="38025717"/>
    <w:lvl w:ilvl="0" w:tentative="0">
      <w:start w:val="1"/>
      <w:numFmt w:val="upperLetter"/>
      <w:lvlText w:val="%1."/>
      <w:lvlJc w:val="left"/>
      <w:pPr>
        <w:ind w:left="153" w:hanging="360"/>
      </w:pPr>
      <w:rPr>
        <w:b/>
        <w:bCs/>
      </w:rPr>
    </w:lvl>
    <w:lvl w:ilvl="1" w:tentative="0">
      <w:start w:val="1"/>
      <w:numFmt w:val="lowerLetter"/>
      <w:lvlText w:val="%2)"/>
      <w:lvlJc w:val="left"/>
      <w:pPr>
        <w:ind w:left="873" w:hanging="360"/>
      </w:pPr>
      <w:rPr>
        <w:rFonts w:hint="default"/>
      </w:rPr>
    </w:lvl>
    <w:lvl w:ilvl="2" w:tentative="0">
      <w:start w:val="1"/>
      <w:numFmt w:val="lowerRoman"/>
      <w:lvlText w:val="%3."/>
      <w:lvlJc w:val="right"/>
      <w:pPr>
        <w:ind w:left="1593" w:hanging="180"/>
      </w:pPr>
    </w:lvl>
    <w:lvl w:ilvl="3" w:tentative="0">
      <w:start w:val="1"/>
      <w:numFmt w:val="decimal"/>
      <w:lvlText w:val="%4."/>
      <w:lvlJc w:val="left"/>
      <w:pPr>
        <w:ind w:left="2313" w:hanging="360"/>
      </w:pPr>
    </w:lvl>
    <w:lvl w:ilvl="4" w:tentative="0">
      <w:start w:val="1"/>
      <w:numFmt w:val="lowerLetter"/>
      <w:lvlText w:val="%5."/>
      <w:lvlJc w:val="left"/>
      <w:pPr>
        <w:ind w:left="3033" w:hanging="360"/>
      </w:pPr>
    </w:lvl>
    <w:lvl w:ilvl="5" w:tentative="0">
      <w:start w:val="1"/>
      <w:numFmt w:val="lowerRoman"/>
      <w:lvlText w:val="%6."/>
      <w:lvlJc w:val="right"/>
      <w:pPr>
        <w:ind w:left="3753" w:hanging="180"/>
      </w:pPr>
    </w:lvl>
    <w:lvl w:ilvl="6" w:tentative="0">
      <w:start w:val="1"/>
      <w:numFmt w:val="decimal"/>
      <w:lvlText w:val="%7."/>
      <w:lvlJc w:val="left"/>
      <w:pPr>
        <w:ind w:left="4473" w:hanging="360"/>
      </w:pPr>
    </w:lvl>
    <w:lvl w:ilvl="7" w:tentative="0">
      <w:start w:val="1"/>
      <w:numFmt w:val="lowerLetter"/>
      <w:lvlText w:val="%8."/>
      <w:lvlJc w:val="left"/>
      <w:pPr>
        <w:ind w:left="5193" w:hanging="360"/>
      </w:pPr>
    </w:lvl>
    <w:lvl w:ilvl="8" w:tentative="0">
      <w:start w:val="1"/>
      <w:numFmt w:val="lowerRoman"/>
      <w:lvlText w:val="%9."/>
      <w:lvlJc w:val="right"/>
      <w:pPr>
        <w:ind w:left="5913" w:hanging="180"/>
      </w:pPr>
    </w:lvl>
  </w:abstractNum>
  <w:abstractNum w:abstractNumId="9">
    <w:nsid w:val="3CCD4D85"/>
    <w:multiLevelType w:val="multilevel"/>
    <w:tmpl w:val="3CCD4D85"/>
    <w:lvl w:ilvl="0" w:tentative="0">
      <w:start w:val="1"/>
      <w:numFmt w:val="decimal"/>
      <w:lvlText w:val="%1."/>
      <w:lvlJc w:val="left"/>
      <w:pPr>
        <w:ind w:left="873" w:hanging="360"/>
      </w:pPr>
    </w:lvl>
    <w:lvl w:ilvl="1" w:tentative="0">
      <w:start w:val="1"/>
      <w:numFmt w:val="lowerLetter"/>
      <w:lvlText w:val="%2."/>
      <w:lvlJc w:val="left"/>
      <w:pPr>
        <w:ind w:left="1593" w:hanging="360"/>
      </w:pPr>
    </w:lvl>
    <w:lvl w:ilvl="2" w:tentative="0">
      <w:start w:val="1"/>
      <w:numFmt w:val="lowerRoman"/>
      <w:lvlText w:val="%3."/>
      <w:lvlJc w:val="right"/>
      <w:pPr>
        <w:ind w:left="2313" w:hanging="180"/>
      </w:pPr>
    </w:lvl>
    <w:lvl w:ilvl="3" w:tentative="0">
      <w:start w:val="1"/>
      <w:numFmt w:val="decimal"/>
      <w:lvlText w:val="%4."/>
      <w:lvlJc w:val="left"/>
      <w:pPr>
        <w:ind w:left="3033" w:hanging="360"/>
      </w:pPr>
    </w:lvl>
    <w:lvl w:ilvl="4" w:tentative="0">
      <w:start w:val="1"/>
      <w:numFmt w:val="lowerLetter"/>
      <w:lvlText w:val="%5."/>
      <w:lvlJc w:val="left"/>
      <w:pPr>
        <w:ind w:left="3753" w:hanging="360"/>
      </w:pPr>
    </w:lvl>
    <w:lvl w:ilvl="5" w:tentative="0">
      <w:start w:val="1"/>
      <w:numFmt w:val="lowerRoman"/>
      <w:lvlText w:val="%6."/>
      <w:lvlJc w:val="right"/>
      <w:pPr>
        <w:ind w:left="4473" w:hanging="180"/>
      </w:pPr>
    </w:lvl>
    <w:lvl w:ilvl="6" w:tentative="0">
      <w:start w:val="1"/>
      <w:numFmt w:val="decimal"/>
      <w:lvlText w:val="%7."/>
      <w:lvlJc w:val="left"/>
      <w:pPr>
        <w:ind w:left="5193" w:hanging="360"/>
      </w:pPr>
    </w:lvl>
    <w:lvl w:ilvl="7" w:tentative="0">
      <w:start w:val="1"/>
      <w:numFmt w:val="lowerLetter"/>
      <w:lvlText w:val="%8."/>
      <w:lvlJc w:val="left"/>
      <w:pPr>
        <w:ind w:left="5913" w:hanging="360"/>
      </w:pPr>
    </w:lvl>
    <w:lvl w:ilvl="8" w:tentative="0">
      <w:start w:val="1"/>
      <w:numFmt w:val="lowerRoman"/>
      <w:lvlText w:val="%9."/>
      <w:lvlJc w:val="right"/>
      <w:pPr>
        <w:ind w:left="6633" w:hanging="180"/>
      </w:pPr>
    </w:lvl>
  </w:abstractNum>
  <w:abstractNum w:abstractNumId="10">
    <w:nsid w:val="406E02F4"/>
    <w:multiLevelType w:val="multilevel"/>
    <w:tmpl w:val="406E02F4"/>
    <w:lvl w:ilvl="0" w:tentative="0">
      <w:start w:val="1"/>
      <w:numFmt w:val="decimal"/>
      <w:lvlText w:val="%1."/>
      <w:lvlJc w:val="left"/>
      <w:pPr>
        <w:ind w:left="873" w:hanging="360"/>
      </w:pPr>
      <w:rPr>
        <w:b w:val="0"/>
        <w:bCs w:val="0"/>
      </w:rPr>
    </w:lvl>
    <w:lvl w:ilvl="1" w:tentative="0">
      <w:start w:val="1"/>
      <w:numFmt w:val="lowerLetter"/>
      <w:lvlText w:val="%2."/>
      <w:lvlJc w:val="left"/>
      <w:pPr>
        <w:ind w:left="1593" w:hanging="360"/>
      </w:pPr>
    </w:lvl>
    <w:lvl w:ilvl="2" w:tentative="0">
      <w:start w:val="1"/>
      <w:numFmt w:val="lowerRoman"/>
      <w:lvlText w:val="%3."/>
      <w:lvlJc w:val="right"/>
      <w:pPr>
        <w:ind w:left="2313" w:hanging="180"/>
      </w:pPr>
    </w:lvl>
    <w:lvl w:ilvl="3" w:tentative="0">
      <w:start w:val="1"/>
      <w:numFmt w:val="decimal"/>
      <w:lvlText w:val="%4."/>
      <w:lvlJc w:val="left"/>
      <w:pPr>
        <w:ind w:left="3033" w:hanging="360"/>
      </w:pPr>
    </w:lvl>
    <w:lvl w:ilvl="4" w:tentative="0">
      <w:start w:val="1"/>
      <w:numFmt w:val="lowerLetter"/>
      <w:lvlText w:val="%5."/>
      <w:lvlJc w:val="left"/>
      <w:pPr>
        <w:ind w:left="3753" w:hanging="360"/>
      </w:pPr>
    </w:lvl>
    <w:lvl w:ilvl="5" w:tentative="0">
      <w:start w:val="1"/>
      <w:numFmt w:val="lowerRoman"/>
      <w:lvlText w:val="%6."/>
      <w:lvlJc w:val="right"/>
      <w:pPr>
        <w:ind w:left="4473" w:hanging="180"/>
      </w:pPr>
    </w:lvl>
    <w:lvl w:ilvl="6" w:tentative="0">
      <w:start w:val="1"/>
      <w:numFmt w:val="decimal"/>
      <w:lvlText w:val="%7."/>
      <w:lvlJc w:val="left"/>
      <w:pPr>
        <w:ind w:left="5193" w:hanging="360"/>
      </w:pPr>
    </w:lvl>
    <w:lvl w:ilvl="7" w:tentative="0">
      <w:start w:val="1"/>
      <w:numFmt w:val="lowerLetter"/>
      <w:lvlText w:val="%8."/>
      <w:lvlJc w:val="left"/>
      <w:pPr>
        <w:ind w:left="5913" w:hanging="360"/>
      </w:pPr>
    </w:lvl>
    <w:lvl w:ilvl="8" w:tentative="0">
      <w:start w:val="1"/>
      <w:numFmt w:val="lowerRoman"/>
      <w:lvlText w:val="%9."/>
      <w:lvlJc w:val="right"/>
      <w:pPr>
        <w:ind w:left="6633" w:hanging="180"/>
      </w:pPr>
    </w:lvl>
  </w:abstractNum>
  <w:abstractNum w:abstractNumId="11">
    <w:nsid w:val="42CB1A42"/>
    <w:multiLevelType w:val="multilevel"/>
    <w:tmpl w:val="42CB1A4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
    <w:nsid w:val="46A85FC2"/>
    <w:multiLevelType w:val="multilevel"/>
    <w:tmpl w:val="46A85FC2"/>
    <w:lvl w:ilvl="0" w:tentative="0">
      <w:start w:val="1"/>
      <w:numFmt w:val="lowerLetter"/>
      <w:lvlText w:val="%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
    <w:nsid w:val="58C70960"/>
    <w:multiLevelType w:val="multilevel"/>
    <w:tmpl w:val="58C70960"/>
    <w:lvl w:ilvl="0" w:tentative="0">
      <w:start w:val="1"/>
      <w:numFmt w:val="decimal"/>
      <w:lvlText w:val="%1."/>
      <w:lvlJc w:val="left"/>
      <w:pPr>
        <w:ind w:left="873" w:hanging="360"/>
      </w:pPr>
      <w:rPr>
        <w:b w:val="0"/>
        <w:bCs w:val="0"/>
      </w:rPr>
    </w:lvl>
    <w:lvl w:ilvl="1" w:tentative="0">
      <w:start w:val="1"/>
      <w:numFmt w:val="lowerLetter"/>
      <w:lvlText w:val="%2."/>
      <w:lvlJc w:val="left"/>
      <w:pPr>
        <w:ind w:left="1593" w:hanging="360"/>
      </w:pPr>
    </w:lvl>
    <w:lvl w:ilvl="2" w:tentative="0">
      <w:start w:val="1"/>
      <w:numFmt w:val="lowerRoman"/>
      <w:lvlText w:val="%3."/>
      <w:lvlJc w:val="right"/>
      <w:pPr>
        <w:ind w:left="2313" w:hanging="180"/>
      </w:pPr>
    </w:lvl>
    <w:lvl w:ilvl="3" w:tentative="0">
      <w:start w:val="1"/>
      <w:numFmt w:val="decimal"/>
      <w:lvlText w:val="%4."/>
      <w:lvlJc w:val="left"/>
      <w:pPr>
        <w:ind w:left="3033" w:hanging="360"/>
      </w:pPr>
    </w:lvl>
    <w:lvl w:ilvl="4" w:tentative="0">
      <w:start w:val="1"/>
      <w:numFmt w:val="lowerLetter"/>
      <w:lvlText w:val="%5."/>
      <w:lvlJc w:val="left"/>
      <w:pPr>
        <w:ind w:left="3753" w:hanging="360"/>
      </w:pPr>
    </w:lvl>
    <w:lvl w:ilvl="5" w:tentative="0">
      <w:start w:val="1"/>
      <w:numFmt w:val="lowerRoman"/>
      <w:lvlText w:val="%6."/>
      <w:lvlJc w:val="right"/>
      <w:pPr>
        <w:ind w:left="4473" w:hanging="180"/>
      </w:pPr>
    </w:lvl>
    <w:lvl w:ilvl="6" w:tentative="0">
      <w:start w:val="1"/>
      <w:numFmt w:val="decimal"/>
      <w:lvlText w:val="%7."/>
      <w:lvlJc w:val="left"/>
      <w:pPr>
        <w:ind w:left="5193" w:hanging="360"/>
      </w:pPr>
    </w:lvl>
    <w:lvl w:ilvl="7" w:tentative="0">
      <w:start w:val="1"/>
      <w:numFmt w:val="lowerLetter"/>
      <w:lvlText w:val="%8."/>
      <w:lvlJc w:val="left"/>
      <w:pPr>
        <w:ind w:left="5913" w:hanging="360"/>
      </w:pPr>
    </w:lvl>
    <w:lvl w:ilvl="8" w:tentative="0">
      <w:start w:val="1"/>
      <w:numFmt w:val="lowerRoman"/>
      <w:lvlText w:val="%9."/>
      <w:lvlJc w:val="right"/>
      <w:pPr>
        <w:ind w:left="6633" w:hanging="180"/>
      </w:pPr>
    </w:lvl>
  </w:abstractNum>
  <w:abstractNum w:abstractNumId="14">
    <w:nsid w:val="5A676BC4"/>
    <w:multiLevelType w:val="multilevel"/>
    <w:tmpl w:val="5A676BC4"/>
    <w:lvl w:ilvl="0" w:tentative="0">
      <w:start w:val="1"/>
      <w:numFmt w:val="decimal"/>
      <w:lvlText w:val="%1."/>
      <w:lvlJc w:val="left"/>
      <w:pPr>
        <w:ind w:left="873" w:hanging="360"/>
      </w:pPr>
      <w:rPr>
        <w:b w:val="0"/>
        <w:bCs w:val="0"/>
      </w:rPr>
    </w:lvl>
    <w:lvl w:ilvl="1" w:tentative="0">
      <w:start w:val="1"/>
      <w:numFmt w:val="lowerLetter"/>
      <w:lvlText w:val="%2."/>
      <w:lvlJc w:val="left"/>
      <w:pPr>
        <w:ind w:left="1593" w:hanging="360"/>
      </w:pPr>
    </w:lvl>
    <w:lvl w:ilvl="2" w:tentative="0">
      <w:start w:val="1"/>
      <w:numFmt w:val="lowerRoman"/>
      <w:lvlText w:val="%3."/>
      <w:lvlJc w:val="right"/>
      <w:pPr>
        <w:ind w:left="2313" w:hanging="180"/>
      </w:pPr>
    </w:lvl>
    <w:lvl w:ilvl="3" w:tentative="0">
      <w:start w:val="1"/>
      <w:numFmt w:val="decimal"/>
      <w:lvlText w:val="%4."/>
      <w:lvlJc w:val="left"/>
      <w:pPr>
        <w:ind w:left="3033" w:hanging="360"/>
      </w:pPr>
    </w:lvl>
    <w:lvl w:ilvl="4" w:tentative="0">
      <w:start w:val="1"/>
      <w:numFmt w:val="lowerLetter"/>
      <w:lvlText w:val="%5."/>
      <w:lvlJc w:val="left"/>
      <w:pPr>
        <w:ind w:left="3753" w:hanging="360"/>
      </w:pPr>
    </w:lvl>
    <w:lvl w:ilvl="5" w:tentative="0">
      <w:start w:val="1"/>
      <w:numFmt w:val="lowerRoman"/>
      <w:lvlText w:val="%6."/>
      <w:lvlJc w:val="right"/>
      <w:pPr>
        <w:ind w:left="4473" w:hanging="180"/>
      </w:pPr>
    </w:lvl>
    <w:lvl w:ilvl="6" w:tentative="0">
      <w:start w:val="1"/>
      <w:numFmt w:val="decimal"/>
      <w:lvlText w:val="%7."/>
      <w:lvlJc w:val="left"/>
      <w:pPr>
        <w:ind w:left="5193" w:hanging="360"/>
      </w:pPr>
    </w:lvl>
    <w:lvl w:ilvl="7" w:tentative="0">
      <w:start w:val="1"/>
      <w:numFmt w:val="lowerLetter"/>
      <w:lvlText w:val="%8."/>
      <w:lvlJc w:val="left"/>
      <w:pPr>
        <w:ind w:left="5913" w:hanging="360"/>
      </w:pPr>
    </w:lvl>
    <w:lvl w:ilvl="8" w:tentative="0">
      <w:start w:val="1"/>
      <w:numFmt w:val="lowerRoman"/>
      <w:lvlText w:val="%9."/>
      <w:lvlJc w:val="right"/>
      <w:pPr>
        <w:ind w:left="6633" w:hanging="180"/>
      </w:pPr>
    </w:lvl>
  </w:abstractNum>
  <w:abstractNum w:abstractNumId="15">
    <w:nsid w:val="629E1B3C"/>
    <w:multiLevelType w:val="multilevel"/>
    <w:tmpl w:val="629E1B3C"/>
    <w:lvl w:ilvl="0" w:tentative="0">
      <w:start w:val="1"/>
      <w:numFmt w:val="decimal"/>
      <w:lvlText w:val="%1."/>
      <w:lvlJc w:val="left"/>
      <w:pPr>
        <w:ind w:left="873" w:hanging="360"/>
      </w:pPr>
      <w:rPr>
        <w:rFonts w:hint="default"/>
        <w:b w:val="0"/>
        <w:bCs w:val="0"/>
        <w:strike w:val="0"/>
        <w:color w:val="auto"/>
      </w:rPr>
    </w:lvl>
    <w:lvl w:ilvl="1" w:tentative="0">
      <w:start w:val="1"/>
      <w:numFmt w:val="lowerLetter"/>
      <w:lvlText w:val="%2."/>
      <w:lvlJc w:val="left"/>
      <w:pPr>
        <w:ind w:left="1593" w:hanging="360"/>
      </w:pPr>
    </w:lvl>
    <w:lvl w:ilvl="2" w:tentative="0">
      <w:start w:val="1"/>
      <w:numFmt w:val="lowerRoman"/>
      <w:lvlText w:val="%3."/>
      <w:lvlJc w:val="right"/>
      <w:pPr>
        <w:ind w:left="2313" w:hanging="180"/>
      </w:pPr>
    </w:lvl>
    <w:lvl w:ilvl="3" w:tentative="0">
      <w:start w:val="1"/>
      <w:numFmt w:val="decimal"/>
      <w:lvlText w:val="%4."/>
      <w:lvlJc w:val="left"/>
      <w:pPr>
        <w:ind w:left="3033" w:hanging="360"/>
      </w:pPr>
    </w:lvl>
    <w:lvl w:ilvl="4" w:tentative="0">
      <w:start w:val="1"/>
      <w:numFmt w:val="lowerLetter"/>
      <w:lvlText w:val="%5."/>
      <w:lvlJc w:val="left"/>
      <w:pPr>
        <w:ind w:left="3753" w:hanging="360"/>
      </w:pPr>
    </w:lvl>
    <w:lvl w:ilvl="5" w:tentative="0">
      <w:start w:val="1"/>
      <w:numFmt w:val="lowerRoman"/>
      <w:lvlText w:val="%6."/>
      <w:lvlJc w:val="right"/>
      <w:pPr>
        <w:ind w:left="4473" w:hanging="180"/>
      </w:pPr>
    </w:lvl>
    <w:lvl w:ilvl="6" w:tentative="0">
      <w:start w:val="1"/>
      <w:numFmt w:val="decimal"/>
      <w:lvlText w:val="%7."/>
      <w:lvlJc w:val="left"/>
      <w:pPr>
        <w:ind w:left="5193" w:hanging="360"/>
      </w:pPr>
    </w:lvl>
    <w:lvl w:ilvl="7" w:tentative="0">
      <w:start w:val="1"/>
      <w:numFmt w:val="lowerLetter"/>
      <w:lvlText w:val="%8."/>
      <w:lvlJc w:val="left"/>
      <w:pPr>
        <w:ind w:left="5913" w:hanging="360"/>
      </w:pPr>
    </w:lvl>
    <w:lvl w:ilvl="8" w:tentative="0">
      <w:start w:val="1"/>
      <w:numFmt w:val="lowerRoman"/>
      <w:lvlText w:val="%9."/>
      <w:lvlJc w:val="right"/>
      <w:pPr>
        <w:ind w:left="6633" w:hanging="180"/>
      </w:pPr>
    </w:lvl>
  </w:abstractNum>
  <w:abstractNum w:abstractNumId="16">
    <w:nsid w:val="6A7137D3"/>
    <w:multiLevelType w:val="multilevel"/>
    <w:tmpl w:val="6A7137D3"/>
    <w:lvl w:ilvl="0" w:tentative="0">
      <w:start w:val="1"/>
      <w:numFmt w:val="lowerLetter"/>
      <w:lvlText w:val="%1)"/>
      <w:lvlJc w:val="left"/>
      <w:pPr>
        <w:ind w:left="720" w:hanging="360"/>
      </w:pPr>
      <w:rPr>
        <w:b w:val="0"/>
        <w:bCs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
    <w:nsid w:val="6B532A5E"/>
    <w:multiLevelType w:val="multilevel"/>
    <w:tmpl w:val="6B532A5E"/>
    <w:lvl w:ilvl="0" w:tentative="0">
      <w:start w:val="1"/>
      <w:numFmt w:val="lowerLetter"/>
      <w:lvlText w:val="%1)"/>
      <w:lvlJc w:val="left"/>
      <w:pPr>
        <w:ind w:left="720" w:hanging="360"/>
      </w:pPr>
      <w:rPr>
        <w:b w:val="0"/>
        <w:bCs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
    <w:nsid w:val="6E5449A6"/>
    <w:multiLevelType w:val="multilevel"/>
    <w:tmpl w:val="6E5449A6"/>
    <w:lvl w:ilvl="0" w:tentative="0">
      <w:start w:val="1"/>
      <w:numFmt w:val="decimal"/>
      <w:lvlText w:val="%1."/>
      <w:lvlJc w:val="left"/>
      <w:pPr>
        <w:ind w:left="2061" w:hanging="360"/>
      </w:pPr>
      <w:rPr>
        <w:rFonts w:hint="default"/>
        <w:b w:val="0"/>
        <w:bCs w:val="0"/>
      </w:rPr>
    </w:lvl>
    <w:lvl w:ilvl="1" w:tentative="0">
      <w:start w:val="1"/>
      <w:numFmt w:val="lowerLetter"/>
      <w:lvlText w:val="%2."/>
      <w:lvlJc w:val="left"/>
      <w:pPr>
        <w:ind w:left="1593" w:hanging="360"/>
      </w:pPr>
    </w:lvl>
    <w:lvl w:ilvl="2" w:tentative="0">
      <w:start w:val="1"/>
      <w:numFmt w:val="lowerRoman"/>
      <w:lvlText w:val="%3."/>
      <w:lvlJc w:val="right"/>
      <w:pPr>
        <w:ind w:left="2313" w:hanging="180"/>
      </w:pPr>
    </w:lvl>
    <w:lvl w:ilvl="3" w:tentative="0">
      <w:start w:val="1"/>
      <w:numFmt w:val="decimal"/>
      <w:lvlText w:val="%4."/>
      <w:lvlJc w:val="left"/>
      <w:pPr>
        <w:ind w:left="3033" w:hanging="360"/>
      </w:pPr>
    </w:lvl>
    <w:lvl w:ilvl="4" w:tentative="0">
      <w:start w:val="1"/>
      <w:numFmt w:val="lowerLetter"/>
      <w:lvlText w:val="%5."/>
      <w:lvlJc w:val="left"/>
      <w:pPr>
        <w:ind w:left="3753" w:hanging="360"/>
      </w:pPr>
    </w:lvl>
    <w:lvl w:ilvl="5" w:tentative="0">
      <w:start w:val="1"/>
      <w:numFmt w:val="lowerRoman"/>
      <w:lvlText w:val="%6."/>
      <w:lvlJc w:val="right"/>
      <w:pPr>
        <w:ind w:left="4473" w:hanging="180"/>
      </w:pPr>
    </w:lvl>
    <w:lvl w:ilvl="6" w:tentative="0">
      <w:start w:val="1"/>
      <w:numFmt w:val="decimal"/>
      <w:lvlText w:val="%7."/>
      <w:lvlJc w:val="left"/>
      <w:pPr>
        <w:ind w:left="5193" w:hanging="360"/>
      </w:pPr>
    </w:lvl>
    <w:lvl w:ilvl="7" w:tentative="0">
      <w:start w:val="1"/>
      <w:numFmt w:val="lowerLetter"/>
      <w:lvlText w:val="%8."/>
      <w:lvlJc w:val="left"/>
      <w:pPr>
        <w:ind w:left="5913" w:hanging="360"/>
      </w:pPr>
    </w:lvl>
    <w:lvl w:ilvl="8" w:tentative="0">
      <w:start w:val="1"/>
      <w:numFmt w:val="lowerRoman"/>
      <w:lvlText w:val="%9."/>
      <w:lvlJc w:val="right"/>
      <w:pPr>
        <w:ind w:left="6633" w:hanging="180"/>
      </w:pPr>
    </w:lvl>
  </w:abstractNum>
  <w:abstractNum w:abstractNumId="19">
    <w:nsid w:val="701D69E7"/>
    <w:multiLevelType w:val="multilevel"/>
    <w:tmpl w:val="701D69E7"/>
    <w:lvl w:ilvl="0" w:tentative="0">
      <w:start w:val="1"/>
      <w:numFmt w:val="bullet"/>
      <w:lvlText w:val=""/>
      <w:lvlJc w:val="left"/>
      <w:pPr>
        <w:ind w:left="1004" w:hanging="360"/>
      </w:pPr>
      <w:rPr>
        <w:rFonts w:hint="default" w:ascii="Symbol" w:hAnsi="Symbol"/>
      </w:rPr>
    </w:lvl>
    <w:lvl w:ilvl="1" w:tentative="0">
      <w:start w:val="1"/>
      <w:numFmt w:val="bullet"/>
      <w:lvlText w:val="o"/>
      <w:lvlJc w:val="left"/>
      <w:pPr>
        <w:ind w:left="1724" w:hanging="360"/>
      </w:pPr>
      <w:rPr>
        <w:rFonts w:hint="default" w:ascii="Courier New" w:hAnsi="Courier New" w:cs="Courier New"/>
      </w:rPr>
    </w:lvl>
    <w:lvl w:ilvl="2" w:tentative="0">
      <w:start w:val="1"/>
      <w:numFmt w:val="bullet"/>
      <w:lvlText w:val=""/>
      <w:lvlJc w:val="left"/>
      <w:pPr>
        <w:ind w:left="2444" w:hanging="360"/>
      </w:pPr>
      <w:rPr>
        <w:rFonts w:hint="default" w:ascii="Wingdings" w:hAnsi="Wingdings"/>
      </w:rPr>
    </w:lvl>
    <w:lvl w:ilvl="3" w:tentative="0">
      <w:start w:val="1"/>
      <w:numFmt w:val="bullet"/>
      <w:lvlText w:val=""/>
      <w:lvlJc w:val="left"/>
      <w:pPr>
        <w:ind w:left="3164" w:hanging="360"/>
      </w:pPr>
      <w:rPr>
        <w:rFonts w:hint="default" w:ascii="Symbol" w:hAnsi="Symbol"/>
      </w:rPr>
    </w:lvl>
    <w:lvl w:ilvl="4" w:tentative="0">
      <w:start w:val="1"/>
      <w:numFmt w:val="bullet"/>
      <w:lvlText w:val="o"/>
      <w:lvlJc w:val="left"/>
      <w:pPr>
        <w:ind w:left="3884" w:hanging="360"/>
      </w:pPr>
      <w:rPr>
        <w:rFonts w:hint="default" w:ascii="Courier New" w:hAnsi="Courier New" w:cs="Courier New"/>
      </w:rPr>
    </w:lvl>
    <w:lvl w:ilvl="5" w:tentative="0">
      <w:start w:val="1"/>
      <w:numFmt w:val="bullet"/>
      <w:lvlText w:val=""/>
      <w:lvlJc w:val="left"/>
      <w:pPr>
        <w:ind w:left="4604" w:hanging="360"/>
      </w:pPr>
      <w:rPr>
        <w:rFonts w:hint="default" w:ascii="Wingdings" w:hAnsi="Wingdings"/>
      </w:rPr>
    </w:lvl>
    <w:lvl w:ilvl="6" w:tentative="0">
      <w:start w:val="1"/>
      <w:numFmt w:val="bullet"/>
      <w:lvlText w:val=""/>
      <w:lvlJc w:val="left"/>
      <w:pPr>
        <w:ind w:left="5324" w:hanging="360"/>
      </w:pPr>
      <w:rPr>
        <w:rFonts w:hint="default" w:ascii="Symbol" w:hAnsi="Symbol"/>
      </w:rPr>
    </w:lvl>
    <w:lvl w:ilvl="7" w:tentative="0">
      <w:start w:val="1"/>
      <w:numFmt w:val="bullet"/>
      <w:lvlText w:val="o"/>
      <w:lvlJc w:val="left"/>
      <w:pPr>
        <w:ind w:left="6044" w:hanging="360"/>
      </w:pPr>
      <w:rPr>
        <w:rFonts w:hint="default" w:ascii="Courier New" w:hAnsi="Courier New" w:cs="Courier New"/>
      </w:rPr>
    </w:lvl>
    <w:lvl w:ilvl="8" w:tentative="0">
      <w:start w:val="1"/>
      <w:numFmt w:val="bullet"/>
      <w:lvlText w:val=""/>
      <w:lvlJc w:val="left"/>
      <w:pPr>
        <w:ind w:left="6764" w:hanging="360"/>
      </w:pPr>
      <w:rPr>
        <w:rFonts w:hint="default" w:ascii="Wingdings" w:hAnsi="Wingdings"/>
      </w:rPr>
    </w:lvl>
  </w:abstractNum>
  <w:abstractNum w:abstractNumId="20">
    <w:nsid w:val="77B35F6B"/>
    <w:multiLevelType w:val="multilevel"/>
    <w:tmpl w:val="77B35F6B"/>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
    <w:nsid w:val="77FA0FC4"/>
    <w:multiLevelType w:val="multilevel"/>
    <w:tmpl w:val="77FA0FC4"/>
    <w:lvl w:ilvl="0" w:tentative="0">
      <w:start w:val="9"/>
      <w:numFmt w:val="upperLetter"/>
      <w:lvlText w:val="%1."/>
      <w:lvlJc w:val="left"/>
      <w:pPr>
        <w:ind w:left="873" w:hanging="360"/>
      </w:pPr>
      <w:rPr>
        <w:rFonts w:hint="default"/>
        <w:b/>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
    <w:nsid w:val="7B7638B4"/>
    <w:multiLevelType w:val="multilevel"/>
    <w:tmpl w:val="7B7638B4"/>
    <w:lvl w:ilvl="0" w:tentative="0">
      <w:start w:val="1"/>
      <w:numFmt w:val="decimal"/>
      <w:suff w:val="nothing"/>
      <w:lvlText w:val="Čl. %1"/>
      <w:lvlJc w:val="left"/>
      <w:pPr>
        <w:ind w:left="709" w:hanging="709"/>
      </w:pPr>
      <w:rPr>
        <w:rFonts w:hint="default" w:ascii="Times New Roman" w:hAnsi="Times New Roman"/>
        <w:b/>
        <w:i w:val="0"/>
        <w:caps w:val="0"/>
      </w:rPr>
    </w:lvl>
    <w:lvl w:ilvl="1" w:tentative="0">
      <w:start w:val="1"/>
      <w:numFmt w:val="decimal"/>
      <w:lvlText w:val="%1.%2"/>
      <w:lvlJc w:val="left"/>
      <w:pPr>
        <w:ind w:left="709" w:hanging="709"/>
      </w:pPr>
      <w:rPr>
        <w:rFonts w:hint="default" w:ascii="Times New Roman" w:hAnsi="Times New Roman"/>
        <w:b/>
        <w:i w:val="0"/>
      </w:rPr>
    </w:lvl>
    <w:lvl w:ilvl="2" w:tentative="0">
      <w:start w:val="1"/>
      <w:numFmt w:val="decimal"/>
      <w:lvlText w:val="%1.%2.%3"/>
      <w:lvlJc w:val="left"/>
      <w:pPr>
        <w:ind w:left="709" w:hanging="709"/>
      </w:pPr>
      <w:rPr>
        <w:rFonts w:hint="default" w:ascii="Times New Roman" w:hAnsi="Times New Roman"/>
        <w:b/>
        <w:i w:val="0"/>
      </w:rPr>
    </w:lvl>
    <w:lvl w:ilvl="3" w:tentative="0">
      <w:start w:val="1"/>
      <w:numFmt w:val="lowerLetter"/>
      <w:pStyle w:val="5"/>
      <w:lvlText w:val="%4)"/>
      <w:lvlJc w:val="left"/>
      <w:pPr>
        <w:ind w:left="1418" w:hanging="709"/>
      </w:pPr>
      <w:rPr>
        <w:rFonts w:hint="default" w:ascii="Times New Roman" w:hAnsi="Times New Roman"/>
      </w:rPr>
    </w:lvl>
    <w:lvl w:ilvl="4" w:tentative="0">
      <w:start w:val="1"/>
      <w:numFmt w:val="upperLetter"/>
      <w:pStyle w:val="6"/>
      <w:lvlText w:val="%5."/>
      <w:lvlJc w:val="left"/>
      <w:pPr>
        <w:ind w:left="2835" w:hanging="709"/>
      </w:pPr>
      <w:rPr>
        <w:rFonts w:hint="default" w:ascii="Times New Roman" w:hAnsi="Times New Roman"/>
      </w:rPr>
    </w:lvl>
    <w:lvl w:ilvl="5" w:tentative="0">
      <w:start w:val="1"/>
      <w:numFmt w:val="upperRoman"/>
      <w:pStyle w:val="7"/>
      <w:lvlText w:val="%6."/>
      <w:lvlJc w:val="left"/>
      <w:pPr>
        <w:ind w:left="3544" w:hanging="709"/>
      </w:pPr>
      <w:rPr>
        <w:rFonts w:hint="default" w:ascii="Times New Roman" w:hAnsi="Times New Roman"/>
      </w:rPr>
    </w:lvl>
    <w:lvl w:ilvl="6" w:tentative="0">
      <w:start w:val="1"/>
      <w:numFmt w:val="decimal"/>
      <w:lvlText w:val="%7."/>
      <w:lvlJc w:val="left"/>
      <w:pPr>
        <w:ind w:left="4963" w:hanging="709"/>
      </w:pPr>
      <w:rPr>
        <w:rFonts w:hint="default"/>
      </w:rPr>
    </w:lvl>
    <w:lvl w:ilvl="7" w:tentative="0">
      <w:start w:val="1"/>
      <w:numFmt w:val="lowerLetter"/>
      <w:lvlText w:val="%8."/>
      <w:lvlJc w:val="left"/>
      <w:pPr>
        <w:ind w:left="5672" w:hanging="709"/>
      </w:pPr>
      <w:rPr>
        <w:rFonts w:hint="default"/>
      </w:rPr>
    </w:lvl>
    <w:lvl w:ilvl="8" w:tentative="0">
      <w:start w:val="1"/>
      <w:numFmt w:val="lowerRoman"/>
      <w:lvlText w:val="%9."/>
      <w:lvlJc w:val="left"/>
      <w:pPr>
        <w:ind w:left="6381" w:hanging="709"/>
      </w:pPr>
      <w:rPr>
        <w:rFonts w:hint="default"/>
      </w:rPr>
    </w:lvl>
  </w:abstractNum>
  <w:abstractNum w:abstractNumId="23">
    <w:nsid w:val="7EE8533E"/>
    <w:multiLevelType w:val="multilevel"/>
    <w:tmpl w:val="7EE8533E"/>
    <w:lvl w:ilvl="0" w:tentative="0">
      <w:start w:val="1"/>
      <w:numFmt w:val="upperLetter"/>
      <w:pStyle w:val="49"/>
      <w:lvlText w:val="(%1)"/>
      <w:lvlJc w:val="left"/>
      <w:pPr>
        <w:tabs>
          <w:tab w:val="left" w:pos="567"/>
        </w:tabs>
        <w:ind w:left="567" w:hanging="207"/>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22"/>
    <w:lvlOverride w:ilvl="0">
      <w:lvl w:ilvl="0" w:tentative="1">
        <w:start w:val="1"/>
        <w:numFmt w:val="decimal"/>
        <w:pStyle w:val="2"/>
        <w:suff w:val="nothing"/>
        <w:lvlText w:val="Čl. %1"/>
        <w:lvlJc w:val="left"/>
        <w:pPr>
          <w:ind w:left="709" w:hanging="709"/>
        </w:pPr>
        <w:rPr>
          <w:rFonts w:hint="default" w:ascii="Times New Roman" w:hAnsi="Times New Roman"/>
          <w:b/>
          <w:i w:val="0"/>
          <w:caps w:val="0"/>
        </w:rPr>
      </w:lvl>
    </w:lvlOverride>
    <w:lvlOverride w:ilvl="1">
      <w:lvl w:ilvl="1" w:tentative="1">
        <w:start w:val="1"/>
        <w:numFmt w:val="decimal"/>
        <w:pStyle w:val="3"/>
        <w:lvlText w:val="%1.%2"/>
        <w:lvlJc w:val="left"/>
        <w:pPr>
          <w:ind w:left="709" w:hanging="709"/>
        </w:pPr>
        <w:rPr>
          <w:rFonts w:hint="default" w:ascii="Times New Roman" w:hAnsi="Times New Roman"/>
          <w:b/>
          <w:i w:val="0"/>
        </w:rPr>
      </w:lvl>
    </w:lvlOverride>
    <w:lvlOverride w:ilvl="2">
      <w:lvl w:ilvl="2" w:tentative="1">
        <w:start w:val="1"/>
        <w:numFmt w:val="decimal"/>
        <w:pStyle w:val="4"/>
        <w:lvlText w:val="%1.%2.%3"/>
        <w:lvlJc w:val="left"/>
        <w:pPr>
          <w:ind w:left="709" w:hanging="709"/>
        </w:pPr>
        <w:rPr>
          <w:rFonts w:hint="default" w:ascii="Times New Roman" w:hAnsi="Times New Roman"/>
          <w:b/>
          <w:i w:val="0"/>
          <w:strike w:val="0"/>
        </w:rPr>
      </w:lvl>
    </w:lvlOverride>
  </w:num>
  <w:num w:numId="2">
    <w:abstractNumId w:val="5"/>
  </w:num>
  <w:num w:numId="3">
    <w:abstractNumId w:val="23"/>
  </w:num>
  <w:num w:numId="4">
    <w:abstractNumId w:val="0"/>
  </w:num>
  <w:num w:numId="5">
    <w:abstractNumId w:val="19"/>
  </w:num>
  <w:num w:numId="6">
    <w:abstractNumId w:val="11"/>
  </w:num>
  <w:num w:numId="7">
    <w:abstractNumId w:val="12"/>
  </w:num>
  <w:num w:numId="8">
    <w:abstractNumId w:val="8"/>
  </w:num>
  <w:num w:numId="9">
    <w:abstractNumId w:val="10"/>
  </w:num>
  <w:num w:numId="10">
    <w:abstractNumId w:val="4"/>
  </w:num>
  <w:num w:numId="11">
    <w:abstractNumId w:val="14"/>
  </w:num>
  <w:num w:numId="12">
    <w:abstractNumId w:val="17"/>
  </w:num>
  <w:num w:numId="13">
    <w:abstractNumId w:val="15"/>
  </w:num>
  <w:num w:numId="14">
    <w:abstractNumId w:val="16"/>
  </w:num>
  <w:num w:numId="15">
    <w:abstractNumId w:val="18"/>
  </w:num>
  <w:num w:numId="16">
    <w:abstractNumId w:val="7"/>
  </w:num>
  <w:num w:numId="17">
    <w:abstractNumId w:val="13"/>
  </w:num>
  <w:num w:numId="18">
    <w:abstractNumId w:val="1"/>
  </w:num>
  <w:num w:numId="19">
    <w:abstractNumId w:val="2"/>
  </w:num>
  <w:num w:numId="20">
    <w:abstractNumId w:val="6"/>
  </w:num>
  <w:num w:numId="21">
    <w:abstractNumId w:val="3"/>
  </w:num>
  <w:num w:numId="22">
    <w:abstractNumId w:val="20"/>
  </w:num>
  <w:num w:numId="23">
    <w:abstractNumId w:val="9"/>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387"/>
    <w:rsid w:val="000737BC"/>
    <w:rsid w:val="000A5F8D"/>
    <w:rsid w:val="000B66F5"/>
    <w:rsid w:val="00147C62"/>
    <w:rsid w:val="003E6066"/>
    <w:rsid w:val="00403950"/>
    <w:rsid w:val="00423416"/>
    <w:rsid w:val="00451E3E"/>
    <w:rsid w:val="004E55E1"/>
    <w:rsid w:val="00613B32"/>
    <w:rsid w:val="00812B67"/>
    <w:rsid w:val="00987AAA"/>
    <w:rsid w:val="00991A93"/>
    <w:rsid w:val="009B1DF6"/>
    <w:rsid w:val="00A70418"/>
    <w:rsid w:val="00A84696"/>
    <w:rsid w:val="00AB388B"/>
    <w:rsid w:val="00B36062"/>
    <w:rsid w:val="00B450BF"/>
    <w:rsid w:val="00B73C3A"/>
    <w:rsid w:val="00C45297"/>
    <w:rsid w:val="00C45354"/>
    <w:rsid w:val="00CF2906"/>
    <w:rsid w:val="00D32B88"/>
    <w:rsid w:val="00D64A01"/>
    <w:rsid w:val="00D7530C"/>
    <w:rsid w:val="00D92387"/>
    <w:rsid w:val="00E175B4"/>
    <w:rsid w:val="00F4560F"/>
    <w:rsid w:val="00FD591E"/>
    <w:rsid w:val="59AD2A11"/>
    <w:rsid w:val="69FF1118"/>
  </w:rsids>
  <m:mathPr>
    <m:mathFont m:val="Cambria Math"/>
    <m:brkBin m:val="before"/>
    <m:brkBinSub m:val="--"/>
    <m:smallFrac m:val="0"/>
    <m:dispDef/>
    <m:lMargin m:val="0"/>
    <m:rMargin m:val="0"/>
    <m:defJc m:val="centerGroup"/>
    <m:wrapIndent m:val="1440"/>
    <m:intLim m:val="subSup"/>
    <m:naryLim m:val="undOvr"/>
  </m:mathPr>
  <w:themeFontLang w:val="sk-SK"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9"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sk-SK" w:eastAsia="en-US" w:bidi="ar-SA"/>
    </w:rPr>
  </w:style>
  <w:style w:type="paragraph" w:styleId="2">
    <w:name w:val="heading 1"/>
    <w:next w:val="3"/>
    <w:link w:val="25"/>
    <w:qFormat/>
    <w:uiPriority w:val="0"/>
    <w:pPr>
      <w:keepNext/>
      <w:keepLines/>
      <w:numPr>
        <w:ilvl w:val="0"/>
        <w:numId w:val="1"/>
      </w:numPr>
      <w:shd w:val="clear" w:color="auto" w:fill="F2F2F2"/>
      <w:spacing w:before="240"/>
      <w:jc w:val="center"/>
      <w:outlineLvl w:val="0"/>
    </w:pPr>
    <w:rPr>
      <w:rFonts w:ascii="Times New Roman" w:hAnsi="Times New Roman" w:eastAsia="Times New Roman" w:cs="Times New Roman"/>
      <w:b/>
      <w:bCs/>
      <w:caps/>
      <w:sz w:val="22"/>
      <w:szCs w:val="28"/>
      <w:lang w:val="cs-CZ" w:eastAsia="en-US" w:bidi="ar-SA"/>
    </w:rPr>
  </w:style>
  <w:style w:type="paragraph" w:styleId="3">
    <w:name w:val="heading 2"/>
    <w:link w:val="26"/>
    <w:unhideWhenUsed/>
    <w:qFormat/>
    <w:uiPriority w:val="99"/>
    <w:pPr>
      <w:numPr>
        <w:ilvl w:val="1"/>
        <w:numId w:val="1"/>
      </w:numPr>
      <w:shd w:val="clear" w:color="auto" w:fill="F2F2F2"/>
      <w:spacing w:before="240"/>
      <w:jc w:val="both"/>
      <w:outlineLvl w:val="1"/>
    </w:pPr>
    <w:rPr>
      <w:rFonts w:ascii="Times New Roman" w:hAnsi="Times New Roman" w:eastAsia="Times New Roman" w:cs="Times New Roman"/>
      <w:sz w:val="22"/>
      <w:szCs w:val="26"/>
      <w:lang w:val="cs-CZ" w:eastAsia="en-US" w:bidi="ar-SA"/>
    </w:rPr>
  </w:style>
  <w:style w:type="paragraph" w:styleId="4">
    <w:name w:val="heading 3"/>
    <w:link w:val="27"/>
    <w:unhideWhenUsed/>
    <w:qFormat/>
    <w:uiPriority w:val="0"/>
    <w:pPr>
      <w:keepLines/>
      <w:numPr>
        <w:ilvl w:val="2"/>
        <w:numId w:val="1"/>
      </w:numPr>
      <w:shd w:val="clear" w:color="auto" w:fill="F2F2F2"/>
      <w:spacing w:before="240" w:afterAutospacing="1"/>
      <w:jc w:val="both"/>
      <w:outlineLvl w:val="2"/>
    </w:pPr>
    <w:rPr>
      <w:rFonts w:ascii="Times New Roman" w:hAnsi="Times New Roman" w:eastAsia="Times New Roman" w:cs="Times New Roman"/>
      <w:bCs/>
      <w:sz w:val="22"/>
      <w:szCs w:val="22"/>
      <w:lang w:val="cs-CZ" w:eastAsia="en-US" w:bidi="ar-SA"/>
    </w:rPr>
  </w:style>
  <w:style w:type="paragraph" w:styleId="5">
    <w:name w:val="heading 4"/>
    <w:link w:val="28"/>
    <w:unhideWhenUsed/>
    <w:qFormat/>
    <w:uiPriority w:val="0"/>
    <w:pPr>
      <w:numPr>
        <w:ilvl w:val="3"/>
        <w:numId w:val="1"/>
      </w:numPr>
      <w:shd w:val="clear" w:color="auto" w:fill="F2F2F2"/>
      <w:spacing w:before="200" w:after="100" w:afterAutospacing="1"/>
      <w:jc w:val="both"/>
      <w:outlineLvl w:val="3"/>
    </w:pPr>
    <w:rPr>
      <w:rFonts w:ascii="Times New Roman" w:hAnsi="Times New Roman" w:eastAsia="Times New Roman" w:cs="Times New Roman"/>
      <w:bCs/>
      <w:iCs/>
      <w:sz w:val="22"/>
      <w:szCs w:val="22"/>
      <w:lang w:val="cs-CZ" w:eastAsia="en-US" w:bidi="ar-SA"/>
    </w:rPr>
  </w:style>
  <w:style w:type="paragraph" w:styleId="6">
    <w:name w:val="heading 5"/>
    <w:link w:val="29"/>
    <w:unhideWhenUsed/>
    <w:qFormat/>
    <w:uiPriority w:val="0"/>
    <w:pPr>
      <w:keepNext/>
      <w:keepLines/>
      <w:numPr>
        <w:ilvl w:val="4"/>
        <w:numId w:val="1"/>
      </w:numPr>
      <w:spacing w:before="200" w:afterAutospacing="1"/>
      <w:jc w:val="both"/>
      <w:outlineLvl w:val="4"/>
    </w:pPr>
    <w:rPr>
      <w:rFonts w:ascii="Times New Roman" w:hAnsi="Times New Roman" w:eastAsia="Times New Roman" w:cs="Times New Roman"/>
      <w:sz w:val="22"/>
      <w:szCs w:val="22"/>
      <w:lang w:val="cs-CZ" w:eastAsia="en-US" w:bidi="ar-SA"/>
    </w:rPr>
  </w:style>
  <w:style w:type="paragraph" w:styleId="7">
    <w:name w:val="heading 6"/>
    <w:basedOn w:val="1"/>
    <w:next w:val="1"/>
    <w:link w:val="30"/>
    <w:unhideWhenUsed/>
    <w:qFormat/>
    <w:uiPriority w:val="0"/>
    <w:pPr>
      <w:keepNext/>
      <w:keepLines/>
      <w:numPr>
        <w:ilvl w:val="5"/>
        <w:numId w:val="1"/>
      </w:numPr>
      <w:spacing w:before="200" w:after="0" w:line="240" w:lineRule="auto"/>
      <w:jc w:val="both"/>
      <w:outlineLvl w:val="5"/>
    </w:pPr>
    <w:rPr>
      <w:rFonts w:ascii="Times New Roman" w:hAnsi="Times New Roman" w:eastAsia="Calibri" w:cs="Times New Roman"/>
      <w:iCs/>
      <w:lang w:val="zh-CN"/>
    </w:rPr>
  </w:style>
  <w:style w:type="character" w:default="1" w:styleId="8">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10">
    <w:name w:val="Balloon Text"/>
    <w:basedOn w:val="1"/>
    <w:link w:val="33"/>
    <w:semiHidden/>
    <w:unhideWhenUsed/>
    <w:qFormat/>
    <w:uiPriority w:val="99"/>
    <w:pPr>
      <w:spacing w:after="0" w:line="240" w:lineRule="auto"/>
    </w:pPr>
    <w:rPr>
      <w:rFonts w:ascii="Tahoma" w:hAnsi="Tahoma" w:eastAsia="Times New Roman" w:cs="Tahoma"/>
      <w:sz w:val="16"/>
      <w:szCs w:val="16"/>
      <w:lang w:val="cs-CZ" w:eastAsia="cs-CZ"/>
    </w:rPr>
  </w:style>
  <w:style w:type="paragraph" w:styleId="11">
    <w:name w:val="Body Text"/>
    <w:basedOn w:val="1"/>
    <w:link w:val="31"/>
    <w:uiPriority w:val="0"/>
    <w:pPr>
      <w:spacing w:after="120" w:line="240" w:lineRule="auto"/>
    </w:pPr>
    <w:rPr>
      <w:rFonts w:ascii="Times New Roman" w:hAnsi="Times New Roman" w:eastAsia="Times New Roman" w:cs="Times New Roman"/>
      <w:sz w:val="24"/>
      <w:szCs w:val="24"/>
      <w:lang w:val="cs-CZ" w:eastAsia="cs-CZ"/>
    </w:rPr>
  </w:style>
  <w:style w:type="character" w:styleId="12">
    <w:name w:val="annotation reference"/>
    <w:basedOn w:val="8"/>
    <w:unhideWhenUsed/>
    <w:qFormat/>
    <w:uiPriority w:val="99"/>
    <w:rPr>
      <w:sz w:val="16"/>
      <w:szCs w:val="16"/>
    </w:rPr>
  </w:style>
  <w:style w:type="paragraph" w:styleId="13">
    <w:name w:val="annotation text"/>
    <w:basedOn w:val="1"/>
    <w:link w:val="32"/>
    <w:unhideWhenUsed/>
    <w:qFormat/>
    <w:uiPriority w:val="99"/>
    <w:pPr>
      <w:spacing w:after="0" w:line="240" w:lineRule="auto"/>
    </w:pPr>
    <w:rPr>
      <w:rFonts w:ascii="Times New Roman" w:hAnsi="Times New Roman" w:eastAsia="Times New Roman" w:cs="Times New Roman"/>
      <w:sz w:val="20"/>
      <w:szCs w:val="20"/>
    </w:rPr>
  </w:style>
  <w:style w:type="paragraph" w:styleId="14">
    <w:name w:val="annotation subject"/>
    <w:basedOn w:val="13"/>
    <w:next w:val="13"/>
    <w:link w:val="36"/>
    <w:semiHidden/>
    <w:unhideWhenUsed/>
    <w:qFormat/>
    <w:uiPriority w:val="99"/>
    <w:rPr>
      <w:b/>
      <w:bCs/>
      <w:lang w:val="cs-CZ" w:eastAsia="cs-CZ"/>
    </w:rPr>
  </w:style>
  <w:style w:type="paragraph" w:styleId="15">
    <w:name w:val="footer"/>
    <w:basedOn w:val="1"/>
    <w:link w:val="38"/>
    <w:unhideWhenUsed/>
    <w:uiPriority w:val="99"/>
    <w:pPr>
      <w:tabs>
        <w:tab w:val="center" w:pos="4536"/>
        <w:tab w:val="right" w:pos="9072"/>
      </w:tabs>
      <w:spacing w:after="0" w:line="240" w:lineRule="auto"/>
    </w:pPr>
    <w:rPr>
      <w:rFonts w:ascii="Times New Roman" w:hAnsi="Times New Roman" w:eastAsia="Times New Roman" w:cs="Times New Roman"/>
      <w:sz w:val="24"/>
      <w:szCs w:val="24"/>
      <w:lang w:val="cs-CZ" w:eastAsia="cs-CZ"/>
    </w:rPr>
  </w:style>
  <w:style w:type="character" w:styleId="16">
    <w:name w:val="footnote reference"/>
    <w:basedOn w:val="8"/>
    <w:semiHidden/>
    <w:unhideWhenUsed/>
    <w:uiPriority w:val="99"/>
    <w:rPr>
      <w:vertAlign w:val="superscript"/>
    </w:rPr>
  </w:style>
  <w:style w:type="paragraph" w:styleId="17">
    <w:name w:val="footnote text"/>
    <w:basedOn w:val="1"/>
    <w:link w:val="35"/>
    <w:semiHidden/>
    <w:unhideWhenUsed/>
    <w:uiPriority w:val="99"/>
    <w:pPr>
      <w:spacing w:after="0" w:line="240" w:lineRule="auto"/>
    </w:pPr>
    <w:rPr>
      <w:rFonts w:ascii="Times New Roman" w:hAnsi="Times New Roman" w:eastAsia="Times New Roman" w:cs="Times New Roman"/>
      <w:sz w:val="20"/>
      <w:szCs w:val="20"/>
      <w:lang w:val="cs-CZ" w:eastAsia="cs-CZ"/>
    </w:rPr>
  </w:style>
  <w:style w:type="paragraph" w:styleId="18">
    <w:name w:val="header"/>
    <w:basedOn w:val="1"/>
    <w:link w:val="37"/>
    <w:unhideWhenUsed/>
    <w:uiPriority w:val="99"/>
    <w:pPr>
      <w:tabs>
        <w:tab w:val="center" w:pos="4536"/>
        <w:tab w:val="right" w:pos="9072"/>
      </w:tabs>
      <w:spacing w:after="0" w:line="240" w:lineRule="auto"/>
    </w:pPr>
    <w:rPr>
      <w:rFonts w:ascii="Times New Roman" w:hAnsi="Times New Roman" w:eastAsia="Times New Roman" w:cs="Times New Roman"/>
      <w:sz w:val="24"/>
      <w:szCs w:val="24"/>
      <w:lang w:val="cs-CZ" w:eastAsia="cs-CZ"/>
    </w:rPr>
  </w:style>
  <w:style w:type="character" w:styleId="19">
    <w:name w:val="Hyperlink"/>
    <w:basedOn w:val="8"/>
    <w:unhideWhenUsed/>
    <w:uiPriority w:val="99"/>
    <w:rPr>
      <w:color w:val="0000FF" w:themeColor="hyperlink"/>
      <w:u w:val="single"/>
      <w14:textFill>
        <w14:solidFill>
          <w14:schemeClr w14:val="hlink"/>
        </w14:solidFill>
      </w14:textFill>
    </w:rPr>
  </w:style>
  <w:style w:type="paragraph" w:styleId="20">
    <w:name w:val="Normal (Web)"/>
    <w:basedOn w:val="1"/>
    <w:semiHidden/>
    <w:unhideWhenUsed/>
    <w:qFormat/>
    <w:uiPriority w:val="99"/>
    <w:pPr>
      <w:spacing w:before="100" w:beforeAutospacing="1" w:after="119" w:line="240" w:lineRule="auto"/>
    </w:pPr>
    <w:rPr>
      <w:rFonts w:ascii="Times New Roman" w:hAnsi="Times New Roman" w:eastAsia="Times New Roman" w:cs="Times New Roman"/>
      <w:sz w:val="24"/>
      <w:szCs w:val="24"/>
      <w:lang w:eastAsia="sk-SK"/>
    </w:rPr>
  </w:style>
  <w:style w:type="character" w:styleId="21">
    <w:name w:val="Strong"/>
    <w:basedOn w:val="8"/>
    <w:qFormat/>
    <w:uiPriority w:val="22"/>
    <w:rPr>
      <w:b/>
      <w:bCs/>
    </w:rPr>
  </w:style>
  <w:style w:type="table" w:styleId="22">
    <w:name w:val="Light List"/>
    <w:basedOn w:val="9"/>
    <w:uiPriority w:val="61"/>
    <w:rPr>
      <w:rFonts w:eastAsiaTheme="minorEastAsia"/>
      <w:sz w:val="22"/>
      <w:szCs w:val="22"/>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paragraph" w:styleId="23">
    <w:name w:val="List Paragraph"/>
    <w:basedOn w:val="1"/>
    <w:link w:val="24"/>
    <w:qFormat/>
    <w:uiPriority w:val="34"/>
    <w:pPr>
      <w:ind w:left="720"/>
      <w:contextualSpacing/>
    </w:pPr>
  </w:style>
  <w:style w:type="character" w:customStyle="1" w:styleId="24">
    <w:name w:val="Odsek zoznamu Char"/>
    <w:link w:val="23"/>
    <w:qFormat/>
    <w:locked/>
    <w:uiPriority w:val="34"/>
    <w:rPr>
      <w:sz w:val="22"/>
      <w:szCs w:val="22"/>
      <w:lang w:eastAsia="en-US"/>
    </w:rPr>
  </w:style>
  <w:style w:type="character" w:customStyle="1" w:styleId="25">
    <w:name w:val="Nadpis 1 Char"/>
    <w:basedOn w:val="8"/>
    <w:link w:val="2"/>
    <w:qFormat/>
    <w:uiPriority w:val="0"/>
    <w:rPr>
      <w:rFonts w:ascii="Times New Roman" w:hAnsi="Times New Roman" w:eastAsia="Times New Roman" w:cs="Times New Roman"/>
      <w:b/>
      <w:bCs/>
      <w:caps/>
      <w:sz w:val="22"/>
      <w:szCs w:val="28"/>
      <w:shd w:val="clear" w:color="auto" w:fill="F2F2F2"/>
      <w:lang w:val="cs-CZ" w:eastAsia="en-US"/>
    </w:rPr>
  </w:style>
  <w:style w:type="character" w:customStyle="1" w:styleId="26">
    <w:name w:val="Nadpis 2 Char"/>
    <w:basedOn w:val="8"/>
    <w:link w:val="3"/>
    <w:uiPriority w:val="99"/>
    <w:rPr>
      <w:rFonts w:ascii="Times New Roman" w:hAnsi="Times New Roman" w:eastAsia="Times New Roman" w:cs="Times New Roman"/>
      <w:sz w:val="22"/>
      <w:szCs w:val="26"/>
      <w:shd w:val="clear" w:color="auto" w:fill="F2F2F2"/>
      <w:lang w:val="cs-CZ" w:eastAsia="en-US"/>
    </w:rPr>
  </w:style>
  <w:style w:type="character" w:customStyle="1" w:styleId="27">
    <w:name w:val="Nadpis 3 Char"/>
    <w:basedOn w:val="8"/>
    <w:link w:val="4"/>
    <w:uiPriority w:val="0"/>
    <w:rPr>
      <w:rFonts w:ascii="Times New Roman" w:hAnsi="Times New Roman" w:eastAsia="Times New Roman" w:cs="Times New Roman"/>
      <w:bCs/>
      <w:sz w:val="22"/>
      <w:szCs w:val="22"/>
      <w:shd w:val="clear" w:color="auto" w:fill="F2F2F2"/>
      <w:lang w:val="cs-CZ" w:eastAsia="en-US"/>
    </w:rPr>
  </w:style>
  <w:style w:type="character" w:customStyle="1" w:styleId="28">
    <w:name w:val="Nadpis 4 Char"/>
    <w:basedOn w:val="8"/>
    <w:link w:val="5"/>
    <w:qFormat/>
    <w:uiPriority w:val="0"/>
    <w:rPr>
      <w:rFonts w:ascii="Times New Roman" w:hAnsi="Times New Roman" w:eastAsia="Times New Roman" w:cs="Times New Roman"/>
      <w:bCs/>
      <w:iCs/>
      <w:sz w:val="22"/>
      <w:szCs w:val="22"/>
      <w:shd w:val="clear" w:color="auto" w:fill="F2F2F2"/>
      <w:lang w:val="cs-CZ" w:eastAsia="en-US"/>
    </w:rPr>
  </w:style>
  <w:style w:type="character" w:customStyle="1" w:styleId="29">
    <w:name w:val="Nadpis 5 Char"/>
    <w:basedOn w:val="8"/>
    <w:link w:val="6"/>
    <w:uiPriority w:val="0"/>
    <w:rPr>
      <w:rFonts w:ascii="Times New Roman" w:hAnsi="Times New Roman" w:eastAsia="Times New Roman" w:cs="Times New Roman"/>
      <w:sz w:val="22"/>
      <w:szCs w:val="22"/>
      <w:lang w:val="cs-CZ" w:eastAsia="en-US"/>
    </w:rPr>
  </w:style>
  <w:style w:type="character" w:customStyle="1" w:styleId="30">
    <w:name w:val="Nadpis 6 Char"/>
    <w:basedOn w:val="8"/>
    <w:link w:val="7"/>
    <w:uiPriority w:val="0"/>
    <w:rPr>
      <w:rFonts w:ascii="Times New Roman" w:hAnsi="Times New Roman" w:eastAsia="Calibri" w:cs="Times New Roman"/>
      <w:iCs/>
      <w:sz w:val="22"/>
      <w:szCs w:val="22"/>
      <w:lang w:val="zh-CN" w:eastAsia="en-US"/>
    </w:rPr>
  </w:style>
  <w:style w:type="character" w:customStyle="1" w:styleId="31">
    <w:name w:val="Základný text Char"/>
    <w:basedOn w:val="8"/>
    <w:link w:val="11"/>
    <w:uiPriority w:val="0"/>
    <w:rPr>
      <w:rFonts w:ascii="Times New Roman" w:hAnsi="Times New Roman" w:eastAsia="Times New Roman" w:cs="Times New Roman"/>
      <w:sz w:val="24"/>
      <w:szCs w:val="24"/>
      <w:lang w:val="cs-CZ" w:eastAsia="cs-CZ"/>
    </w:rPr>
  </w:style>
  <w:style w:type="character" w:customStyle="1" w:styleId="32">
    <w:name w:val="Text komentára Char"/>
    <w:basedOn w:val="8"/>
    <w:link w:val="13"/>
    <w:uiPriority w:val="99"/>
    <w:rPr>
      <w:rFonts w:ascii="Times New Roman" w:hAnsi="Times New Roman" w:eastAsia="Times New Roman" w:cs="Times New Roman"/>
      <w:lang w:eastAsia="en-US"/>
    </w:rPr>
  </w:style>
  <w:style w:type="character" w:customStyle="1" w:styleId="33">
    <w:name w:val="Text bubliny Char"/>
    <w:basedOn w:val="8"/>
    <w:link w:val="10"/>
    <w:semiHidden/>
    <w:qFormat/>
    <w:uiPriority w:val="99"/>
    <w:rPr>
      <w:rFonts w:ascii="Tahoma" w:hAnsi="Tahoma" w:eastAsia="Times New Roman" w:cs="Tahoma"/>
      <w:sz w:val="16"/>
      <w:szCs w:val="16"/>
      <w:lang w:val="cs-CZ" w:eastAsia="cs-CZ"/>
    </w:rPr>
  </w:style>
  <w:style w:type="paragraph" w:customStyle="1" w:styleId="34">
    <w:name w:val="norm_00e1lny"/>
    <w:basedOn w:val="1"/>
    <w:uiPriority w:val="0"/>
    <w:pPr>
      <w:spacing w:before="100" w:beforeAutospacing="1" w:after="100" w:afterAutospacing="1" w:line="240" w:lineRule="auto"/>
    </w:pPr>
    <w:rPr>
      <w:rFonts w:ascii="Times New Roman" w:hAnsi="Times New Roman" w:eastAsia="Times New Roman" w:cs="Times New Roman"/>
      <w:sz w:val="24"/>
      <w:szCs w:val="24"/>
      <w:lang w:eastAsia="sk-SK"/>
    </w:rPr>
  </w:style>
  <w:style w:type="character" w:customStyle="1" w:styleId="35">
    <w:name w:val="Text poznámky pod čiarou Char"/>
    <w:basedOn w:val="8"/>
    <w:link w:val="17"/>
    <w:semiHidden/>
    <w:uiPriority w:val="99"/>
    <w:rPr>
      <w:rFonts w:ascii="Times New Roman" w:hAnsi="Times New Roman" w:eastAsia="Times New Roman" w:cs="Times New Roman"/>
      <w:lang w:val="cs-CZ" w:eastAsia="cs-CZ"/>
    </w:rPr>
  </w:style>
  <w:style w:type="character" w:customStyle="1" w:styleId="36">
    <w:name w:val="Predmet komentára Char"/>
    <w:basedOn w:val="32"/>
    <w:link w:val="14"/>
    <w:semiHidden/>
    <w:qFormat/>
    <w:uiPriority w:val="99"/>
    <w:rPr>
      <w:rFonts w:ascii="Times New Roman" w:hAnsi="Times New Roman" w:eastAsia="Times New Roman" w:cs="Times New Roman"/>
      <w:b/>
      <w:bCs/>
      <w:lang w:val="cs-CZ" w:eastAsia="cs-CZ"/>
    </w:rPr>
  </w:style>
  <w:style w:type="character" w:customStyle="1" w:styleId="37">
    <w:name w:val="Hlavička Char"/>
    <w:basedOn w:val="8"/>
    <w:link w:val="18"/>
    <w:uiPriority w:val="99"/>
    <w:rPr>
      <w:rFonts w:ascii="Times New Roman" w:hAnsi="Times New Roman" w:eastAsia="Times New Roman" w:cs="Times New Roman"/>
      <w:sz w:val="24"/>
      <w:szCs w:val="24"/>
      <w:lang w:val="cs-CZ" w:eastAsia="cs-CZ"/>
    </w:rPr>
  </w:style>
  <w:style w:type="character" w:customStyle="1" w:styleId="38">
    <w:name w:val="Päta Char"/>
    <w:basedOn w:val="8"/>
    <w:link w:val="15"/>
    <w:uiPriority w:val="99"/>
    <w:rPr>
      <w:rFonts w:ascii="Times New Roman" w:hAnsi="Times New Roman" w:eastAsia="Times New Roman" w:cs="Times New Roman"/>
      <w:sz w:val="24"/>
      <w:szCs w:val="24"/>
      <w:lang w:val="cs-CZ" w:eastAsia="cs-CZ"/>
    </w:rPr>
  </w:style>
  <w:style w:type="paragraph" w:customStyle="1" w:styleId="39">
    <w:name w:val="Default"/>
    <w:uiPriority w:val="0"/>
    <w:pPr>
      <w:autoSpaceDE w:val="0"/>
      <w:autoSpaceDN w:val="0"/>
      <w:adjustRightInd w:val="0"/>
    </w:pPr>
    <w:rPr>
      <w:rFonts w:ascii="Sylfaen" w:hAnsi="Sylfaen" w:cs="Sylfaen" w:eastAsiaTheme="minorHAnsi"/>
      <w:color w:val="000000"/>
      <w:sz w:val="24"/>
      <w:szCs w:val="24"/>
      <w:lang w:val="sk-SK" w:eastAsia="en-US" w:bidi="ar-SA"/>
    </w:rPr>
  </w:style>
  <w:style w:type="paragraph" w:customStyle="1" w:styleId="40">
    <w:name w:val="Clanek 1.1"/>
    <w:basedOn w:val="3"/>
    <w:link w:val="45"/>
    <w:qFormat/>
    <w:uiPriority w:val="0"/>
    <w:pPr>
      <w:widowControl w:val="0"/>
      <w:numPr>
        <w:ilvl w:val="0"/>
        <w:numId w:val="0"/>
      </w:numPr>
      <w:shd w:val="clear" w:color="auto" w:fill="auto"/>
      <w:tabs>
        <w:tab w:val="left" w:pos="1135"/>
      </w:tabs>
      <w:spacing w:before="120" w:after="120"/>
      <w:ind w:left="1135" w:hanging="567"/>
    </w:pPr>
    <w:rPr>
      <w:rFonts w:cs="Arial"/>
      <w:bCs/>
      <w:iCs/>
      <w:szCs w:val="28"/>
    </w:rPr>
  </w:style>
  <w:style w:type="paragraph" w:customStyle="1" w:styleId="41">
    <w:name w:val="Clanek (a)"/>
    <w:basedOn w:val="1"/>
    <w:qFormat/>
    <w:uiPriority w:val="0"/>
    <w:pPr>
      <w:keepLines/>
      <w:widowControl w:val="0"/>
      <w:tabs>
        <w:tab w:val="left" w:pos="1559"/>
      </w:tabs>
      <w:spacing w:before="120" w:after="120" w:line="240" w:lineRule="auto"/>
      <w:ind w:left="1559" w:hanging="425"/>
      <w:jc w:val="both"/>
    </w:pPr>
    <w:rPr>
      <w:rFonts w:ascii="Times New Roman" w:hAnsi="Times New Roman" w:eastAsia="Times New Roman" w:cs="Times New Roman"/>
      <w:szCs w:val="24"/>
      <w:lang w:val="cs-CZ"/>
    </w:rPr>
  </w:style>
  <w:style w:type="paragraph" w:customStyle="1" w:styleId="42">
    <w:name w:val="Clanek (i)"/>
    <w:basedOn w:val="1"/>
    <w:qFormat/>
    <w:uiPriority w:val="0"/>
    <w:pPr>
      <w:keepNext/>
      <w:tabs>
        <w:tab w:val="left" w:pos="1418"/>
      </w:tabs>
      <w:spacing w:before="120" w:after="120" w:line="240" w:lineRule="auto"/>
      <w:ind w:left="1418" w:hanging="426"/>
      <w:jc w:val="both"/>
    </w:pPr>
    <w:rPr>
      <w:rFonts w:ascii="Times New Roman" w:hAnsi="Times New Roman" w:eastAsia="Times New Roman" w:cs="Times New Roman"/>
      <w:color w:val="000000"/>
      <w:szCs w:val="24"/>
      <w:lang w:val="cs-CZ"/>
    </w:rPr>
  </w:style>
  <w:style w:type="paragraph" w:customStyle="1" w:styleId="43">
    <w:name w:val="Odrazka pro (a)"/>
    <w:basedOn w:val="1"/>
    <w:link w:val="44"/>
    <w:qFormat/>
    <w:uiPriority w:val="99"/>
    <w:pPr>
      <w:keepNext/>
      <w:numPr>
        <w:ilvl w:val="0"/>
        <w:numId w:val="2"/>
      </w:numPr>
      <w:tabs>
        <w:tab w:val="left" w:pos="1418"/>
      </w:tabs>
      <w:spacing w:before="120" w:after="120" w:line="240" w:lineRule="auto"/>
      <w:ind w:left="1417" w:hanging="425"/>
      <w:jc w:val="both"/>
    </w:pPr>
    <w:rPr>
      <w:rFonts w:ascii="Times New Roman" w:hAnsi="Times New Roman" w:eastAsia="Times New Roman" w:cs="Times New Roman"/>
      <w:szCs w:val="20"/>
    </w:rPr>
  </w:style>
  <w:style w:type="character" w:customStyle="1" w:styleId="44">
    <w:name w:val="Odrazka pro (a) Char"/>
    <w:basedOn w:val="8"/>
    <w:link w:val="43"/>
    <w:uiPriority w:val="99"/>
    <w:rPr>
      <w:rFonts w:ascii="Times New Roman" w:hAnsi="Times New Roman" w:eastAsia="Times New Roman" w:cs="Times New Roman"/>
      <w:sz w:val="22"/>
      <w:lang w:eastAsia="en-US"/>
    </w:rPr>
  </w:style>
  <w:style w:type="character" w:customStyle="1" w:styleId="45">
    <w:name w:val="Clanek 1.1 Char"/>
    <w:basedOn w:val="8"/>
    <w:link w:val="40"/>
    <w:uiPriority w:val="0"/>
    <w:rPr>
      <w:rFonts w:ascii="Times New Roman" w:hAnsi="Times New Roman" w:eastAsia="Times New Roman" w:cs="Arial"/>
      <w:bCs/>
      <w:iCs/>
      <w:sz w:val="22"/>
      <w:szCs w:val="28"/>
      <w:lang w:val="cs-CZ" w:eastAsia="en-US"/>
    </w:rPr>
  </w:style>
  <w:style w:type="character" w:customStyle="1" w:styleId="46">
    <w:name w:val="cf01"/>
    <w:basedOn w:val="8"/>
    <w:uiPriority w:val="0"/>
    <w:rPr>
      <w:rFonts w:hint="default" w:ascii="Segoe UI" w:hAnsi="Segoe UI" w:cs="Segoe UI"/>
      <w:b/>
      <w:bCs/>
      <w:sz w:val="18"/>
      <w:szCs w:val="18"/>
    </w:rPr>
  </w:style>
  <w:style w:type="character" w:customStyle="1" w:styleId="47">
    <w:name w:val="Unresolved Mention"/>
    <w:basedOn w:val="8"/>
    <w:semiHidden/>
    <w:unhideWhenUsed/>
    <w:qFormat/>
    <w:uiPriority w:val="99"/>
    <w:rPr>
      <w:color w:val="605E5C"/>
      <w:shd w:val="clear" w:color="auto" w:fill="E1DFDD"/>
    </w:rPr>
  </w:style>
  <w:style w:type="paragraph" w:customStyle="1" w:styleId="48">
    <w:name w:val="Revision"/>
    <w:hidden/>
    <w:semiHidden/>
    <w:uiPriority w:val="99"/>
    <w:rPr>
      <w:rFonts w:ascii="Times New Roman" w:hAnsi="Times New Roman" w:eastAsia="Times New Roman" w:cs="Times New Roman"/>
      <w:sz w:val="24"/>
      <w:szCs w:val="24"/>
      <w:lang w:val="cs-CZ" w:eastAsia="cs-CZ" w:bidi="ar-SA"/>
    </w:rPr>
  </w:style>
  <w:style w:type="paragraph" w:customStyle="1" w:styleId="49">
    <w:name w:val="Preambule"/>
    <w:basedOn w:val="1"/>
    <w:qFormat/>
    <w:uiPriority w:val="0"/>
    <w:pPr>
      <w:widowControl w:val="0"/>
      <w:numPr>
        <w:ilvl w:val="0"/>
        <w:numId w:val="3"/>
      </w:numPr>
      <w:spacing w:before="120" w:after="120" w:line="240" w:lineRule="auto"/>
      <w:jc w:val="both"/>
    </w:pPr>
    <w:rPr>
      <w:rFonts w:ascii="Times New Roman" w:hAnsi="Times New Roman" w:eastAsia="Times New Roman" w:cs="Times New Roman"/>
      <w:szCs w:val="24"/>
      <w:lang w:val="cs-CZ"/>
    </w:rPr>
  </w:style>
</w:styles>
</file>

<file path=word/_rels/document.xml.rels><?xml version="1.0" encoding="UTF-8" standalone="yes"?>
<Relationships xmlns="http://schemas.openxmlformats.org/package/2006/relationships"><Relationship Id="rId9" Type="http://schemas.openxmlformats.org/officeDocument/2006/relationships/diagramQuickStyle" Target="diagrams/quickStyle1.xml"/><Relationship Id="rId8" Type="http://schemas.openxmlformats.org/officeDocument/2006/relationships/diagramLayout" Target="diagrams/layout1.xml"/><Relationship Id="rId7" Type="http://schemas.openxmlformats.org/officeDocument/2006/relationships/diagramData" Target="diagrams/data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microsoft.com/office/2007/relationships/diagramDrawing" Target="diagrams/drawing1.xml"/><Relationship Id="rId10" Type="http://schemas.openxmlformats.org/officeDocument/2006/relationships/diagramColors" Target="diagrams/colors1.xml"/><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567E079D-174C-4ABE-BC7D-445EEF6AA522}" type="doc">
      <dgm:prSet loTypeId="urn:microsoft.com/office/officeart/2005/8/layout/vList5" loCatId="list" qsTypeId="urn:microsoft.com/office/officeart/2005/8/quickstyle/simple3" qsCatId="simple" csTypeId="urn:microsoft.com/office/officeart/2005/8/colors/accent0_1" csCatId="mainScheme" phldr="1"/>
      <dgm:spPr/>
      <dgm:t>
        <a:bodyPr/>
        <a:p>
          <a:endParaRPr lang="sk-SK"/>
        </a:p>
      </dgm:t>
    </dgm:pt>
    <dgm:pt modelId="{F2D4C3EE-D556-4823-A1C4-536EBE27D324}">
      <dgm:prSet phldrT="[Text]" custT="1"/>
      <dgm:spPr/>
      <dgm:t>
        <a:bodyPr/>
        <a:p>
          <a:r>
            <a:rPr lang="sk-SK" sz="1600">
              <a:latin typeface="Palatino Linotype" panose="02040502050505030304" pitchFamily="1" charset="0"/>
            </a:rPr>
            <a:t> </a:t>
          </a:r>
          <a:r>
            <a:rPr lang="sk-SK" sz="1000">
              <a:latin typeface="Palatino Linotype" panose="02040502050505030304" pitchFamily="1" charset="0"/>
            </a:rPr>
            <a:t>Navrhovaná kúpna cena za prevod akcií </a:t>
          </a:r>
        </a:p>
      </dgm:t>
    </dgm:pt>
    <dgm:pt modelId="{0B9AF4B9-E6B5-49EC-B562-ED05DFDA2AFE}" cxnId="{9A2FDC1E-06CC-4D68-8539-D83A3D5CB130}" type="parTrans">
      <dgm:prSet/>
      <dgm:spPr/>
      <dgm:t>
        <a:bodyPr/>
        <a:p>
          <a:endParaRPr lang="sk-SK"/>
        </a:p>
      </dgm:t>
    </dgm:pt>
    <dgm:pt modelId="{C2B2245F-27B9-49D0-85F9-77C853C0A473}" cxnId="{9A2FDC1E-06CC-4D68-8539-D83A3D5CB130}" type="sibTrans">
      <dgm:prSet/>
      <dgm:spPr/>
      <dgm:t>
        <a:bodyPr/>
        <a:p>
          <a:endParaRPr lang="sk-SK"/>
        </a:p>
      </dgm:t>
    </dgm:pt>
    <dgm:pt modelId="{7E885FEC-8EDC-4089-AC5A-C58C856DEF13}">
      <dgm:prSet phldrT="[Text]" custT="1"/>
      <dgm:spPr/>
      <dgm:t>
        <a:bodyPr/>
        <a:p>
          <a:pPr algn="ctr"/>
          <a:r>
            <a:rPr lang="sk-SK" sz="1000">
              <a:latin typeface="Palatino Linotype" panose="02040502050505030304" pitchFamily="1" charset="0"/>
            </a:rPr>
            <a:t>10 bodov</a:t>
          </a:r>
        </a:p>
      </dgm:t>
    </dgm:pt>
    <dgm:pt modelId="{CD868DA2-3514-4AB5-A9A9-5ED578E579B9}" cxnId="{89A82373-E9D0-46C3-983E-9BAF5D1C113F}" type="parTrans">
      <dgm:prSet/>
      <dgm:spPr/>
      <dgm:t>
        <a:bodyPr/>
        <a:p>
          <a:endParaRPr lang="sk-SK"/>
        </a:p>
      </dgm:t>
    </dgm:pt>
    <dgm:pt modelId="{69C3FF5D-7F28-4CCB-832B-459CD2D43F1E}" cxnId="{89A82373-E9D0-46C3-983E-9BAF5D1C113F}" type="sibTrans">
      <dgm:prSet/>
      <dgm:spPr/>
      <dgm:t>
        <a:bodyPr/>
        <a:p>
          <a:endParaRPr lang="sk-SK"/>
        </a:p>
      </dgm:t>
    </dgm:pt>
    <dgm:pt modelId="{52590FFB-6302-4AC4-AC49-302074B349D1}">
      <dgm:prSet phldrT="[Text]" custT="1"/>
      <dgm:spPr/>
      <dgm:t>
        <a:bodyPr/>
        <a:p>
          <a:r>
            <a:rPr lang="sk-SK" sz="1000">
              <a:latin typeface="Palatino Linotype" panose="02040502050505030304" pitchFamily="1" charset="0"/>
            </a:rPr>
            <a:t>Konkrétny počet dlhopisov navrhovaných na prevod v prospech vyhlasovateľa súťaže</a:t>
          </a:r>
        </a:p>
      </dgm:t>
    </dgm:pt>
    <dgm:pt modelId="{76F1ADD5-E650-4E56-A5A5-A51A29C8FCBA}" cxnId="{3A38630F-2C35-49C4-9B10-8913C15079D3}" type="parTrans">
      <dgm:prSet/>
      <dgm:spPr/>
      <dgm:t>
        <a:bodyPr/>
        <a:p>
          <a:endParaRPr lang="sk-SK"/>
        </a:p>
      </dgm:t>
    </dgm:pt>
    <dgm:pt modelId="{D03D1AD5-EBF2-4683-9AF7-9F02CC139C4C}" cxnId="{3A38630F-2C35-49C4-9B10-8913C15079D3}" type="sibTrans">
      <dgm:prSet/>
      <dgm:spPr/>
      <dgm:t>
        <a:bodyPr/>
        <a:p>
          <a:endParaRPr lang="sk-SK"/>
        </a:p>
      </dgm:t>
    </dgm:pt>
    <dgm:pt modelId="{3D036EAC-C946-4270-99E5-EE664AED34C2}">
      <dgm:prSet phldrT="[Text]" custT="1"/>
      <dgm:spPr/>
      <dgm:t>
        <a:bodyPr/>
        <a:p>
          <a:pPr algn="ctr"/>
          <a:r>
            <a:rPr lang="sk-SK" sz="1000">
              <a:latin typeface="Palatino Linotype" panose="02040502050505030304" pitchFamily="1" charset="0"/>
            </a:rPr>
            <a:t>10 bodov</a:t>
          </a:r>
        </a:p>
      </dgm:t>
    </dgm:pt>
    <dgm:pt modelId="{CEF6B3AA-D455-45CD-BF41-F4D008E1699B}" cxnId="{71A5765F-7687-46B6-B0AA-46A3DCBE337D}" type="parTrans">
      <dgm:prSet/>
      <dgm:spPr/>
      <dgm:t>
        <a:bodyPr/>
        <a:p>
          <a:endParaRPr lang="sk-SK"/>
        </a:p>
      </dgm:t>
    </dgm:pt>
    <dgm:pt modelId="{5CD92678-1CBF-4B5F-967C-630D4060F0D4}" cxnId="{71A5765F-7687-46B6-B0AA-46A3DCBE337D}" type="sibTrans">
      <dgm:prSet/>
      <dgm:spPr/>
      <dgm:t>
        <a:bodyPr/>
        <a:p>
          <a:endParaRPr lang="sk-SK"/>
        </a:p>
      </dgm:t>
    </dgm:pt>
    <dgm:pt modelId="{0D7A0A76-F8F5-4B5E-9617-B3DC7B9F3FDB}">
      <dgm:prSet custT="1"/>
      <dgm:spPr/>
      <dgm:t>
        <a:bodyPr/>
        <a:p>
          <a:r>
            <a:rPr lang="sk-SK" sz="1000">
              <a:latin typeface="Palatino Linotype" panose="02040502050505030304" pitchFamily="1" charset="0"/>
            </a:rPr>
            <a:t>Navrhovaná kúpna/upisovacia cena za prevod dlhopisov </a:t>
          </a:r>
        </a:p>
      </dgm:t>
    </dgm:pt>
    <dgm:pt modelId="{D09F178F-5E3C-4BB4-A803-36D8EE4D622A}" cxnId="{087D2216-8E48-4C21-A0EC-63F3062D34DC}" type="parTrans">
      <dgm:prSet/>
      <dgm:spPr/>
    </dgm:pt>
    <dgm:pt modelId="{69C194C2-225C-4018-BE66-AC733B5D1122}" cxnId="{087D2216-8E48-4C21-A0EC-63F3062D34DC}" type="sibTrans">
      <dgm:prSet/>
      <dgm:spPr/>
    </dgm:pt>
    <dgm:pt modelId="{254F3E49-41F5-45A3-BA54-37A7C9B38228}">
      <dgm:prSet custT="1"/>
      <dgm:spPr/>
      <dgm:t>
        <a:bodyPr/>
        <a:p>
          <a:pPr algn="ctr"/>
          <a:r>
            <a:rPr lang="sk-SK" sz="1000">
              <a:latin typeface="Palatino Linotype" panose="02040502050505030304" pitchFamily="1" charset="0"/>
            </a:rPr>
            <a:t>10 bodov</a:t>
          </a:r>
          <a:endParaRPr lang="sk-SK" sz="1300"/>
        </a:p>
      </dgm:t>
    </dgm:pt>
    <dgm:pt modelId="{8F5B2CC2-BEDA-482C-87B3-E19114CCA168}" cxnId="{7F532500-965F-40B8-B25A-4043C03345AA}" type="parTrans">
      <dgm:prSet/>
      <dgm:spPr/>
    </dgm:pt>
    <dgm:pt modelId="{69F1FFE0-CFBE-475C-AC2D-63233C620E28}" cxnId="{7F532500-965F-40B8-B25A-4043C03345AA}" type="sibTrans">
      <dgm:prSet/>
      <dgm:spPr/>
    </dgm:pt>
    <dgm:pt modelId="{0BF9E09D-71F3-478A-8436-7C85404ABADB}" type="pres">
      <dgm:prSet presAssocID="{567E079D-174C-4ABE-BC7D-445EEF6AA522}" presName="Name0" presStyleCnt="0">
        <dgm:presLayoutVars>
          <dgm:dir/>
          <dgm:animLvl val="lvl"/>
          <dgm:resizeHandles val="exact"/>
        </dgm:presLayoutVars>
      </dgm:prSet>
      <dgm:spPr/>
    </dgm:pt>
    <dgm:pt modelId="{008E7A27-F08C-48F8-828C-B17F3489F437}" type="pres">
      <dgm:prSet presAssocID="{F2D4C3EE-D556-4823-A1C4-536EBE27D324}" presName="linNode" presStyleCnt="0"/>
      <dgm:spPr/>
    </dgm:pt>
    <dgm:pt modelId="{CDF1688B-D7F1-4F79-9A1E-7029E9D29404}" type="pres">
      <dgm:prSet presAssocID="{F2D4C3EE-D556-4823-A1C4-536EBE27D324}" presName="parentText" presStyleLbl="node1" presStyleIdx="0" presStyleCnt="3" custScaleX="201377">
        <dgm:presLayoutVars>
          <dgm:chMax val="1"/>
          <dgm:bulletEnabled val="1"/>
        </dgm:presLayoutVars>
      </dgm:prSet>
      <dgm:spPr/>
    </dgm:pt>
    <dgm:pt modelId="{B540D212-475B-4F74-AF80-968BB47242C7}" type="pres">
      <dgm:prSet presAssocID="{F2D4C3EE-D556-4823-A1C4-536EBE27D324}" presName="descendantText" presStyleLbl="alignAccFollowNode1" presStyleIdx="0" presStyleCnt="3">
        <dgm:presLayoutVars>
          <dgm:bulletEnabled val="1"/>
        </dgm:presLayoutVars>
      </dgm:prSet>
      <dgm:spPr/>
    </dgm:pt>
    <dgm:pt modelId="{24818377-1960-4A34-88A8-14A734D252EC}" type="pres">
      <dgm:prSet presAssocID="{C2B2245F-27B9-49D0-85F9-77C853C0A473}" presName="sp" presStyleCnt="0"/>
      <dgm:spPr/>
    </dgm:pt>
    <dgm:pt modelId="{ED34F9E1-6151-4619-888D-5D0707AB34CE}" type="pres">
      <dgm:prSet presAssocID="{52590FFB-6302-4AC4-AC49-302074B349D1}" presName="linNode" presStyleCnt="0"/>
      <dgm:spPr/>
    </dgm:pt>
    <dgm:pt modelId="{6E0460CB-BDE0-46FE-997B-745F0EA6AC70}" type="pres">
      <dgm:prSet presAssocID="{52590FFB-6302-4AC4-AC49-302074B349D1}" presName="parentText" presStyleLbl="node1" presStyleIdx="1" presStyleCnt="3" custScaleX="197967" custLinFactNeighborX="-606" custLinFactNeighborY="152">
        <dgm:presLayoutVars>
          <dgm:chMax val="1"/>
          <dgm:bulletEnabled val="1"/>
        </dgm:presLayoutVars>
      </dgm:prSet>
      <dgm:spPr/>
    </dgm:pt>
    <dgm:pt modelId="{83041A4A-7879-4A5A-9130-6227F0E7B40B}" type="pres">
      <dgm:prSet presAssocID="{52590FFB-6302-4AC4-AC49-302074B349D1}" presName="descendantText" presStyleLbl="alignAccFollowNode1" presStyleIdx="1" presStyleCnt="3">
        <dgm:presLayoutVars>
          <dgm:bulletEnabled val="1"/>
        </dgm:presLayoutVars>
      </dgm:prSet>
      <dgm:spPr/>
    </dgm:pt>
    <dgm:pt modelId="{789F9779-DE94-4C1B-9522-A8D9F95A3889}" type="pres">
      <dgm:prSet presAssocID="{D03D1AD5-EBF2-4683-9AF7-9F02CC139C4C}" presName="sp" presStyleCnt="0"/>
      <dgm:spPr/>
    </dgm:pt>
    <dgm:pt modelId="{B9A90AB5-D40B-44DF-8F55-380C8475E7E4}" type="pres">
      <dgm:prSet presAssocID="{0D7A0A76-F8F5-4B5E-9617-B3DC7B9F3FDB}" presName="linNode" presStyleCnt="0"/>
      <dgm:spPr/>
    </dgm:pt>
    <dgm:pt modelId="{1E3AC6F2-1AAE-4E6B-8685-701BA70FC248}" type="pres">
      <dgm:prSet presAssocID="{0D7A0A76-F8F5-4B5E-9617-B3DC7B9F3FDB}" presName="parentText" presStyleLbl="node1" presStyleIdx="2" presStyleCnt="3" custScaleX="201949">
        <dgm:presLayoutVars>
          <dgm:chMax val="1"/>
          <dgm:bulletEnabled val="1"/>
        </dgm:presLayoutVars>
      </dgm:prSet>
      <dgm:spPr/>
    </dgm:pt>
    <dgm:pt modelId="{07B9AA3C-3649-41E1-B38A-C87EEE4764CA}" type="pres">
      <dgm:prSet presAssocID="{0D7A0A76-F8F5-4B5E-9617-B3DC7B9F3FDB}" presName="descendantText" presStyleLbl="alignAccFollowNode1" presStyleIdx="2" presStyleCnt="3" custLinFactNeighborX="1279" custLinFactNeighborY="3479">
        <dgm:presLayoutVars>
          <dgm:bulletEnabled val="1"/>
        </dgm:presLayoutVars>
      </dgm:prSet>
      <dgm:spPr/>
    </dgm:pt>
  </dgm:ptLst>
  <dgm:cxnLst>
    <dgm:cxn modelId="{7F532500-965F-40B8-B25A-4043C03345AA}" srcId="{0D7A0A76-F8F5-4B5E-9617-B3DC7B9F3FDB}" destId="{254F3E49-41F5-45A3-BA54-37A7C9B38228}" srcOrd="0" destOrd="0" parTransId="{8F5B2CC2-BEDA-482C-87B3-E19114CCA168}" sibTransId="{69F1FFE0-CFBE-475C-AC2D-63233C620E28}"/>
    <dgm:cxn modelId="{3A38630F-2C35-49C4-9B10-8913C15079D3}" srcId="{567E079D-174C-4ABE-BC7D-445EEF6AA522}" destId="{52590FFB-6302-4AC4-AC49-302074B349D1}" srcOrd="1" destOrd="0" parTransId="{76F1ADD5-E650-4E56-A5A5-A51A29C8FCBA}" sibTransId="{D03D1AD5-EBF2-4683-9AF7-9F02CC139C4C}"/>
    <dgm:cxn modelId="{087D2216-8E48-4C21-A0EC-63F3062D34DC}" srcId="{567E079D-174C-4ABE-BC7D-445EEF6AA522}" destId="{0D7A0A76-F8F5-4B5E-9617-B3DC7B9F3FDB}" srcOrd="2" destOrd="0" parTransId="{D09F178F-5E3C-4BB4-A803-36D8EE4D622A}" sibTransId="{69C194C2-225C-4018-BE66-AC733B5D1122}"/>
    <dgm:cxn modelId="{9A2FDC1E-06CC-4D68-8539-D83A3D5CB130}" srcId="{567E079D-174C-4ABE-BC7D-445EEF6AA522}" destId="{F2D4C3EE-D556-4823-A1C4-536EBE27D324}" srcOrd="0" destOrd="0" parTransId="{0B9AF4B9-E6B5-49EC-B562-ED05DFDA2AFE}" sibTransId="{C2B2245F-27B9-49D0-85F9-77C853C0A473}"/>
    <dgm:cxn modelId="{050FF251-ECE9-4733-8EAD-F8E388C77222}" type="presOf" srcId="{0D7A0A76-F8F5-4B5E-9617-B3DC7B9F3FDB}" destId="{1E3AC6F2-1AAE-4E6B-8685-701BA70FC248}" srcOrd="0" destOrd="0" presId="urn:microsoft.com/office/officeart/2005/8/layout/vList5"/>
    <dgm:cxn modelId="{71A5765F-7687-46B6-B0AA-46A3DCBE337D}" srcId="{52590FFB-6302-4AC4-AC49-302074B349D1}" destId="{3D036EAC-C946-4270-99E5-EE664AED34C2}" srcOrd="0" destOrd="0" parTransId="{CEF6B3AA-D455-45CD-BF41-F4D008E1699B}" sibTransId="{5CD92678-1CBF-4B5F-967C-630D4060F0D4}"/>
    <dgm:cxn modelId="{89A82373-E9D0-46C3-983E-9BAF5D1C113F}" srcId="{F2D4C3EE-D556-4823-A1C4-536EBE27D324}" destId="{7E885FEC-8EDC-4089-AC5A-C58C856DEF13}" srcOrd="0" destOrd="0" parTransId="{CD868DA2-3514-4AB5-A9A9-5ED578E579B9}" sibTransId="{69C3FF5D-7F28-4CCB-832B-459CD2D43F1E}"/>
    <dgm:cxn modelId="{05918C76-03BC-4778-9331-515DF755AD9A}" type="presOf" srcId="{3D036EAC-C946-4270-99E5-EE664AED34C2}" destId="{83041A4A-7879-4A5A-9130-6227F0E7B40B}" srcOrd="0" destOrd="0" presId="urn:microsoft.com/office/officeart/2005/8/layout/vList5"/>
    <dgm:cxn modelId="{6EF98A7B-7477-41E8-9596-52FB362325B1}" type="presOf" srcId="{52590FFB-6302-4AC4-AC49-302074B349D1}" destId="{6E0460CB-BDE0-46FE-997B-745F0EA6AC70}" srcOrd="0" destOrd="0" presId="urn:microsoft.com/office/officeart/2005/8/layout/vList5"/>
    <dgm:cxn modelId="{AE72DA80-BC7E-4FA4-A8AB-2F4AC1400B18}" type="presOf" srcId="{7E885FEC-8EDC-4089-AC5A-C58C856DEF13}" destId="{B540D212-475B-4F74-AF80-968BB47242C7}" srcOrd="0" destOrd="0" presId="urn:microsoft.com/office/officeart/2005/8/layout/vList5"/>
    <dgm:cxn modelId="{4F4C2B88-DBA8-410A-B3C7-0C78A032A305}" type="presOf" srcId="{254F3E49-41F5-45A3-BA54-37A7C9B38228}" destId="{07B9AA3C-3649-41E1-B38A-C87EEE4764CA}" srcOrd="0" destOrd="0" presId="urn:microsoft.com/office/officeart/2005/8/layout/vList5"/>
    <dgm:cxn modelId="{DB9AE89E-00B7-4998-8DBA-A0DE58A1D172}" type="presOf" srcId="{567E079D-174C-4ABE-BC7D-445EEF6AA522}" destId="{0BF9E09D-71F3-478A-8436-7C85404ABADB}" srcOrd="0" destOrd="0" presId="urn:microsoft.com/office/officeart/2005/8/layout/vList5"/>
    <dgm:cxn modelId="{2101DEDE-F1CA-457A-97CF-6E299BDA370D}" type="presOf" srcId="{F2D4C3EE-D556-4823-A1C4-536EBE27D324}" destId="{CDF1688B-D7F1-4F79-9A1E-7029E9D29404}" srcOrd="0" destOrd="0" presId="urn:microsoft.com/office/officeart/2005/8/layout/vList5"/>
    <dgm:cxn modelId="{10A6FE84-1F89-4B61-B6F9-32FD016D44CC}" type="presParOf" srcId="{0BF9E09D-71F3-478A-8436-7C85404ABADB}" destId="{008E7A27-F08C-48F8-828C-B17F3489F437}" srcOrd="0" destOrd="0" presId="urn:microsoft.com/office/officeart/2005/8/layout/vList5"/>
    <dgm:cxn modelId="{14A68FE2-6DB6-4138-B659-AF30ED0537C1}" type="presParOf" srcId="{008E7A27-F08C-48F8-828C-B17F3489F437}" destId="{CDF1688B-D7F1-4F79-9A1E-7029E9D29404}" srcOrd="0" destOrd="0" presId="urn:microsoft.com/office/officeart/2005/8/layout/vList5"/>
    <dgm:cxn modelId="{E6038034-5CAA-4443-9EE4-BF3213A05DAC}" type="presParOf" srcId="{008E7A27-F08C-48F8-828C-B17F3489F437}" destId="{B540D212-475B-4F74-AF80-968BB47242C7}" srcOrd="1" destOrd="0" presId="urn:microsoft.com/office/officeart/2005/8/layout/vList5"/>
    <dgm:cxn modelId="{CD57FFA9-9C75-4BCC-A25F-A9AE8AF09114}" type="presParOf" srcId="{0BF9E09D-71F3-478A-8436-7C85404ABADB}" destId="{24818377-1960-4A34-88A8-14A734D252EC}" srcOrd="1" destOrd="0" presId="urn:microsoft.com/office/officeart/2005/8/layout/vList5"/>
    <dgm:cxn modelId="{F9C9C301-CBFE-4D92-B4D2-67A2A443E084}" type="presParOf" srcId="{0BF9E09D-71F3-478A-8436-7C85404ABADB}" destId="{ED34F9E1-6151-4619-888D-5D0707AB34CE}" srcOrd="2" destOrd="0" presId="urn:microsoft.com/office/officeart/2005/8/layout/vList5"/>
    <dgm:cxn modelId="{9AA27924-3A0D-43FB-8C56-181F59F556DE}" type="presParOf" srcId="{ED34F9E1-6151-4619-888D-5D0707AB34CE}" destId="{6E0460CB-BDE0-46FE-997B-745F0EA6AC70}" srcOrd="0" destOrd="0" presId="urn:microsoft.com/office/officeart/2005/8/layout/vList5"/>
    <dgm:cxn modelId="{7FC1910D-6DEB-4B69-80FE-4B9DBD2391B5}" type="presParOf" srcId="{ED34F9E1-6151-4619-888D-5D0707AB34CE}" destId="{83041A4A-7879-4A5A-9130-6227F0E7B40B}" srcOrd="1" destOrd="0" presId="urn:microsoft.com/office/officeart/2005/8/layout/vList5"/>
    <dgm:cxn modelId="{0D715900-41E9-49AD-9930-58B04A20967A}" type="presParOf" srcId="{0BF9E09D-71F3-478A-8436-7C85404ABADB}" destId="{789F9779-DE94-4C1B-9522-A8D9F95A3889}" srcOrd="3" destOrd="0" presId="urn:microsoft.com/office/officeart/2005/8/layout/vList5"/>
    <dgm:cxn modelId="{F074963D-E7B8-4452-9F98-B8FA33DD479A}" type="presParOf" srcId="{0BF9E09D-71F3-478A-8436-7C85404ABADB}" destId="{B9A90AB5-D40B-44DF-8F55-380C8475E7E4}" srcOrd="4" destOrd="0" presId="urn:microsoft.com/office/officeart/2005/8/layout/vList5"/>
    <dgm:cxn modelId="{33789464-C7AE-4351-B55F-AED9590591A6}" type="presParOf" srcId="{B9A90AB5-D40B-44DF-8F55-380C8475E7E4}" destId="{1E3AC6F2-1AAE-4E6B-8685-701BA70FC248}" srcOrd="0" destOrd="0" presId="urn:microsoft.com/office/officeart/2005/8/layout/vList5"/>
    <dgm:cxn modelId="{3C00D02B-E2AD-4069-9BE4-73CFDAC90AEC}" type="presParOf" srcId="{B9A90AB5-D40B-44DF-8F55-380C8475E7E4}" destId="{07B9AA3C-3649-41E1-B38A-C87EEE4764CA}" srcOrd="1" destOrd="0" presId="urn:microsoft.com/office/officeart/2005/8/layout/vList5"/>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540D212-475B-4F74-AF80-968BB47242C7}">
      <dsp:nvSpPr>
        <dsp:cNvPr id="0" name=""/>
        <dsp:cNvSpPr/>
      </dsp:nvSpPr>
      <dsp:spPr>
        <a:xfrm rot="5400000">
          <a:off x="4055188" y="-982522"/>
          <a:ext cx="547285" cy="2651224"/>
        </a:xfrm>
        <a:prstGeom prst="round2SameRect">
          <a:avLst/>
        </a:prstGeom>
        <a:solidFill>
          <a:schemeClr val="lt1">
            <a:alpha val="90000"/>
            <a:tint val="40000"/>
            <a:hueOff val="0"/>
            <a:satOff val="0"/>
            <a:lumOff val="0"/>
            <a:alphaOff val="0"/>
          </a:schemeClr>
        </a:solidFill>
        <a:ln w="9525" cap="flat"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ctr" defTabSz="444500">
            <a:lnSpc>
              <a:spcPct val="90000"/>
            </a:lnSpc>
            <a:spcBef>
              <a:spcPct val="0"/>
            </a:spcBef>
            <a:spcAft>
              <a:spcPct val="15000"/>
            </a:spcAft>
            <a:buChar char="•"/>
          </a:pPr>
          <a:r>
            <a:rPr lang="sk-SK" sz="1000" kern="1200">
              <a:latin typeface="Palatino Linotype" panose="02040502050505030304" pitchFamily="18" charset="0"/>
            </a:rPr>
            <a:t>10 bodov</a:t>
          </a:r>
        </a:p>
      </dsp:txBody>
      <dsp:txXfrm rot="-5400000">
        <a:off x="3003219" y="96163"/>
        <a:ext cx="2624508" cy="493853"/>
      </dsp:txXfrm>
    </dsp:sp>
    <dsp:sp modelId="{CDF1688B-D7F1-4F79-9A1E-7029E9D29404}">
      <dsp:nvSpPr>
        <dsp:cNvPr id="0" name=""/>
        <dsp:cNvSpPr/>
      </dsp:nvSpPr>
      <dsp:spPr>
        <a:xfrm>
          <a:off x="56" y="1036"/>
          <a:ext cx="3003162" cy="684107"/>
        </a:xfrm>
        <a:prstGeom prst="round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0960" tIns="30480" rIns="60960" bIns="30480" numCol="1" spcCol="1270" anchor="ctr" anchorCtr="0">
          <a:noAutofit/>
        </a:bodyPr>
        <a:lstStyle/>
        <a:p>
          <a:pPr marL="0" lvl="0" indent="0" algn="ctr" defTabSz="711200">
            <a:lnSpc>
              <a:spcPct val="90000"/>
            </a:lnSpc>
            <a:spcBef>
              <a:spcPct val="0"/>
            </a:spcBef>
            <a:spcAft>
              <a:spcPct val="35000"/>
            </a:spcAft>
            <a:buNone/>
          </a:pPr>
          <a:r>
            <a:rPr lang="sk-SK" sz="1600" kern="1200">
              <a:latin typeface="Palatino Linotype" panose="02040502050505030304" pitchFamily="18" charset="0"/>
            </a:rPr>
            <a:t> </a:t>
          </a:r>
          <a:r>
            <a:rPr lang="sk-SK" sz="1000" kern="1200">
              <a:latin typeface="Palatino Linotype" panose="02040502050505030304" pitchFamily="18" charset="0"/>
            </a:rPr>
            <a:t>Navrhovaná kúpna cena za prevod akcií </a:t>
          </a:r>
        </a:p>
      </dsp:txBody>
      <dsp:txXfrm>
        <a:off x="33451" y="34431"/>
        <a:ext cx="2936372" cy="617317"/>
      </dsp:txXfrm>
    </dsp:sp>
    <dsp:sp modelId="{83041A4A-7879-4A5A-9130-6227F0E7B40B}">
      <dsp:nvSpPr>
        <dsp:cNvPr id="0" name=""/>
        <dsp:cNvSpPr/>
      </dsp:nvSpPr>
      <dsp:spPr>
        <a:xfrm rot="5400000">
          <a:off x="4044261" y="-276581"/>
          <a:ext cx="547285" cy="2675968"/>
        </a:xfrm>
        <a:prstGeom prst="round2SameRect">
          <a:avLst/>
        </a:prstGeom>
        <a:solidFill>
          <a:schemeClr val="lt1">
            <a:alpha val="90000"/>
            <a:tint val="40000"/>
            <a:hueOff val="0"/>
            <a:satOff val="0"/>
            <a:lumOff val="0"/>
            <a:alphaOff val="0"/>
          </a:schemeClr>
        </a:solidFill>
        <a:ln w="9525" cap="flat"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ctr" defTabSz="444500">
            <a:lnSpc>
              <a:spcPct val="90000"/>
            </a:lnSpc>
            <a:spcBef>
              <a:spcPct val="0"/>
            </a:spcBef>
            <a:spcAft>
              <a:spcPct val="15000"/>
            </a:spcAft>
            <a:buChar char="•"/>
          </a:pPr>
          <a:r>
            <a:rPr lang="sk-SK" sz="1000" kern="1200">
              <a:latin typeface="Palatino Linotype" panose="02040502050505030304" pitchFamily="18" charset="0"/>
            </a:rPr>
            <a:t>10 bodov</a:t>
          </a:r>
        </a:p>
      </dsp:txBody>
      <dsp:txXfrm rot="-5400000">
        <a:off x="2979920" y="814476"/>
        <a:ext cx="2649252" cy="493853"/>
      </dsp:txXfrm>
    </dsp:sp>
    <dsp:sp modelId="{6E0460CB-BDE0-46FE-997B-745F0EA6AC70}">
      <dsp:nvSpPr>
        <dsp:cNvPr id="0" name=""/>
        <dsp:cNvSpPr/>
      </dsp:nvSpPr>
      <dsp:spPr>
        <a:xfrm>
          <a:off x="0" y="720388"/>
          <a:ext cx="2979863" cy="684107"/>
        </a:xfrm>
        <a:prstGeom prst="round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sk-SK" sz="1000" kern="1200">
              <a:latin typeface="Palatino Linotype" panose="02040502050505030304" pitchFamily="18" charset="0"/>
            </a:rPr>
            <a:t>Konkrétny počet dlhopisov navrhovaných na prevod v prospech vyhlasovateľa súťaže</a:t>
          </a:r>
        </a:p>
      </dsp:txBody>
      <dsp:txXfrm>
        <a:off x="33395" y="753783"/>
        <a:ext cx="2913073" cy="617317"/>
      </dsp:txXfrm>
    </dsp:sp>
    <dsp:sp modelId="{07B9AA3C-3649-41E1-B38A-C87EEE4764CA}">
      <dsp:nvSpPr>
        <dsp:cNvPr id="0" name=""/>
        <dsp:cNvSpPr/>
      </dsp:nvSpPr>
      <dsp:spPr>
        <a:xfrm rot="5400000">
          <a:off x="4058457" y="474915"/>
          <a:ext cx="547285" cy="2647689"/>
        </a:xfrm>
        <a:prstGeom prst="round2SameRect">
          <a:avLst/>
        </a:prstGeom>
        <a:solidFill>
          <a:schemeClr val="lt1">
            <a:alpha val="90000"/>
            <a:tint val="40000"/>
            <a:hueOff val="0"/>
            <a:satOff val="0"/>
            <a:lumOff val="0"/>
            <a:alphaOff val="0"/>
          </a:schemeClr>
        </a:solidFill>
        <a:ln w="9525" cap="flat"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ctr" defTabSz="444500">
            <a:lnSpc>
              <a:spcPct val="90000"/>
            </a:lnSpc>
            <a:spcBef>
              <a:spcPct val="0"/>
            </a:spcBef>
            <a:spcAft>
              <a:spcPct val="15000"/>
            </a:spcAft>
            <a:buChar char="•"/>
          </a:pPr>
          <a:r>
            <a:rPr lang="sk-SK" sz="1000" kern="1200">
              <a:latin typeface="Palatino Linotype" panose="02040502050505030304" pitchFamily="18" charset="0"/>
            </a:rPr>
            <a:t>10 bodov</a:t>
          </a:r>
          <a:endParaRPr lang="sk-SK" sz="1300" kern="1200"/>
        </a:p>
      </dsp:txBody>
      <dsp:txXfrm rot="-5400000">
        <a:off x="3008255" y="1551833"/>
        <a:ext cx="2620973" cy="493853"/>
      </dsp:txXfrm>
    </dsp:sp>
    <dsp:sp modelId="{1E3AC6F2-1AAE-4E6B-8685-701BA70FC248}">
      <dsp:nvSpPr>
        <dsp:cNvPr id="0" name=""/>
        <dsp:cNvSpPr/>
      </dsp:nvSpPr>
      <dsp:spPr>
        <a:xfrm>
          <a:off x="56" y="1437661"/>
          <a:ext cx="3007692" cy="684107"/>
        </a:xfrm>
        <a:prstGeom prst="round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sk-SK" sz="1000" kern="1200">
              <a:latin typeface="Palatino Linotype" panose="02040502050505030304" pitchFamily="18" charset="0"/>
            </a:rPr>
            <a:t>Navrhovaná kúpna/upisovacia cena za prevod dlhopisov </a:t>
          </a:r>
        </a:p>
      </dsp:txBody>
      <dsp:txXfrm>
        <a:off x="33451" y="1471056"/>
        <a:ext cx="2940902" cy="617317"/>
      </dsp:txXfrm>
    </dsp:sp>
  </dsp:spTree>
</dsp:drawing>
</file>

<file path=word/diagrams/layout1.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type="round2SameRect" r:blip="" rot="90">
                    <dgm:adjLst/>
                  </dgm:shape>
                </dgm:if>
                <dgm:else name="Name12">
                  <dgm:shape xmlns:r="http://schemas.openxmlformats.org/officeDocument/2006/relationships" type="round2SameRect" r:blip="" rot="-90">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1">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1">
        <a:scrgbClr r="0" g="0" b="0"/>
      </a:lnRef>
      <a:fillRef idx="1">
        <a:scrgbClr r="0" g="0" b="0"/>
      </a:fillRef>
      <a:effectRef idx="1">
        <a:scrgbClr r="0" g="0" b="0"/>
      </a:effectRef>
      <a:fontRef idx="minor"/>
    </dgm:style>
  </dgm:styleLbl>
  <dgm:styleLbl name="alignNode1">
    <dgm:scene3d>
      <a:camera prst="orthographicFront"/>
      <a:lightRig rig="threePt" dir="t"/>
    </dgm:scene3d>
    <dgm:txPr/>
    <dgm:style>
      <a:lnRef idx="1">
        <a:scrgbClr r="0" g="0" b="0"/>
      </a:lnRef>
      <a:fillRef idx="2">
        <a:scrgbClr r="0" g="0" b="0"/>
      </a:fillRef>
      <a:effectRef idx="1">
        <a:scrgbClr r="0" g="0" b="0"/>
      </a:effectRef>
      <a:fontRef idx="minor">
        <a:schemeClr val="dk1"/>
      </a:fontRef>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bg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1">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1">
        <a:scrgbClr r="0" g="0" b="0"/>
      </a:lnRef>
      <a:fillRef idx="1">
        <a:scrgbClr r="0" g="0" b="0"/>
      </a:fillRef>
      <a:effectRef idx="1">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1">
        <a:scrgbClr r="0" g="0" b="0"/>
      </a:effectRef>
      <a:fontRef idx="minor"/>
    </dgm:style>
  </dgm:styleLbl>
  <dgm:styleLbl name="bgSibTrans2D1">
    <dgm:scene3d>
      <a:camera prst="orthographicFront"/>
      <a:lightRig rig="threePt" dir="t"/>
    </dgm:scene3d>
    <dgm:txPr/>
    <dgm:style>
      <a:lnRef idx="0">
        <a:scrgbClr r="0" g="0" b="0"/>
      </a:lnRef>
      <a:fillRef idx="2">
        <a:scrgbClr r="0" g="0" b="0"/>
      </a:fillRef>
      <a:effectRef idx="1">
        <a:scrgbClr r="0" g="0" b="0"/>
      </a:effectRef>
      <a:fontRef idx="minor">
        <a:schemeClr val="dk1"/>
      </a:fontRef>
    </dgm:style>
  </dgm:styleLbl>
  <dgm:styleLbl name="callout">
    <dgm:scene3d>
      <a:camera prst="orthographicFront"/>
      <a:lightRig rig="threePt" dir="t"/>
    </dgm:scene3d>
    <dgm:txPr/>
    <dgm:style>
      <a:lnRef idx="1">
        <a:scrgbClr r="0" g="0" b="0"/>
      </a:lnRef>
      <a:fillRef idx="2">
        <a:scrgbClr r="0" g="0" b="0"/>
      </a:fillRef>
      <a:effectRef idx="1">
        <a:scrgbClr r="0" g="0" b="0"/>
      </a:effectRef>
      <a:fontRef idx="minor"/>
    </dgm:style>
  </dgm:styleLbl>
  <dgm:styleLbl name="conFg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1">
        <a:scrgbClr r="0" g="0" b="0"/>
      </a:effectRef>
      <a:fontRef idx="minor"/>
    </dgm:style>
  </dgm:styleLbl>
  <dgm:styleLbl name="fgAcc0">
    <dgm:scene3d>
      <a:camera prst="orthographicFront"/>
      <a:lightRig rig="threePt" dir="t"/>
    </dgm:scene3d>
    <dgm:txPr/>
    <dgm:style>
      <a:lnRef idx="1">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1">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1">
        <a:scrgbClr r="0" g="0" b="0"/>
      </a:lnRef>
      <a:fillRef idx="1">
        <a:scrgbClr r="0" g="0" b="0"/>
      </a:fillRef>
      <a:effectRef idx="1">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fgSibTrans2D1">
    <dgm:scene3d>
      <a:camera prst="orthographicFront"/>
      <a:lightRig rig="threePt" dir="t"/>
    </dgm:scene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txPr/>
    <dgm:style>
      <a:lnRef idx="1">
        <a:scrgbClr r="0" g="0" b="0"/>
      </a:lnRef>
      <a:fillRef idx="2">
        <a:scrgbClr r="0" g="0" b="0"/>
      </a:fillRef>
      <a:effectRef idx="1">
        <a:scrgbClr r="0" g="0" b="0"/>
      </a:effectRef>
      <a:fontRef idx="minor">
        <a:schemeClr val="dk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2">
        <a:scrgbClr r="0" g="0" b="0"/>
      </a:fillRef>
      <a:effectRef idx="1">
        <a:scrgbClr r="0" g="0" b="0"/>
      </a:effectRef>
      <a:fontRef idx="minor">
        <a:schemeClr val="dk1"/>
      </a:fontRef>
    </dgm:style>
  </dgm:styleLbl>
  <dgm:styleLbl name="solid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1">
        <a:scrgbClr r="0" g="0" b="0"/>
      </a:lnRef>
      <a:fillRef idx="2">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Def>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285AC6-8F13-4916-8887-812FC7211A53}">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12444</Words>
  <Characters>70934</Characters>
  <Lines>591</Lines>
  <Paragraphs>166</Paragraphs>
  <TotalTime>20</TotalTime>
  <ScaleCrop>false</ScaleCrop>
  <LinksUpToDate>false</LinksUpToDate>
  <CharactersWithSpaces>83212</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2025-07-16T12:43:00Z</dcterms:created>
  <dc:creator>Owner</dc:creator>
  <cp:lastModifiedBy>krokodyl</cp:lastModifiedBy>
  <dcterms:modified xsi:type="dcterms:W3CDTF">2025-08-07T12:00:54Z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67C10235FE974618B50E4DFFF5F33A09_13</vt:lpwstr>
  </property>
</Properties>
</file>